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2E7CB" w14:textId="77777777" w:rsidR="00CD7806" w:rsidRPr="00451615" w:rsidRDefault="00CD7806" w:rsidP="00633C2F">
      <w:pPr>
        <w:pStyle w:val="ListParagraph"/>
        <w:ind w:left="0"/>
        <w:rPr>
          <w:rFonts w:ascii="Times New Roman" w:hAnsi="Times New Roman"/>
          <w:b/>
        </w:rPr>
      </w:pPr>
      <w:bookmarkStart w:id="0" w:name="_GoBack"/>
      <w:bookmarkEnd w:id="0"/>
      <w:r w:rsidRPr="00451615">
        <w:rPr>
          <w:rFonts w:ascii="Times New Roman" w:hAnsi="Times New Roman"/>
          <w:i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4FF2D2D" wp14:editId="1C74D53E">
            <wp:simplePos x="0" y="0"/>
            <wp:positionH relativeFrom="column">
              <wp:posOffset>-125268</wp:posOffset>
            </wp:positionH>
            <wp:positionV relativeFrom="paragraph">
              <wp:posOffset>231</wp:posOffset>
            </wp:positionV>
            <wp:extent cx="1246505" cy="505460"/>
            <wp:effectExtent l="0" t="0" r="0" b="889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SPC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505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8300A1" w14:textId="77777777" w:rsidR="00CD7806" w:rsidRPr="00451615" w:rsidRDefault="00CD7806" w:rsidP="00633C2F">
      <w:pPr>
        <w:pStyle w:val="ListParagraph"/>
        <w:ind w:left="0"/>
        <w:rPr>
          <w:rFonts w:ascii="Times New Roman" w:hAnsi="Times New Roman"/>
          <w:b/>
        </w:rPr>
      </w:pPr>
    </w:p>
    <w:p w14:paraId="0895B6A0" w14:textId="77777777" w:rsidR="00CD7806" w:rsidRDefault="00CD7806" w:rsidP="00717623">
      <w:pPr>
        <w:pStyle w:val="ListParagraph"/>
        <w:ind w:left="0"/>
        <w:rPr>
          <w:rFonts w:ascii="Times New Roman" w:hAnsi="Times New Roman"/>
          <w:b/>
        </w:rPr>
      </w:pPr>
    </w:p>
    <w:p w14:paraId="4AE78A23" w14:textId="77777777" w:rsidR="00717623" w:rsidRDefault="00717623" w:rsidP="00717623">
      <w:pPr>
        <w:pStyle w:val="ListParagraph"/>
        <w:ind w:left="0"/>
        <w:rPr>
          <w:rFonts w:ascii="Times New Roman" w:hAnsi="Times New Roman"/>
          <w:b/>
        </w:rPr>
      </w:pPr>
    </w:p>
    <w:p w14:paraId="2FAB4498" w14:textId="587359ED" w:rsidR="00717623" w:rsidRPr="00717623" w:rsidRDefault="00717623" w:rsidP="00717623">
      <w:pPr>
        <w:pStyle w:val="ListParagraph"/>
        <w:ind w:left="0"/>
        <w:jc w:val="right"/>
        <w:rPr>
          <w:rFonts w:ascii="Times New Roman" w:hAnsi="Times New Roman"/>
        </w:rPr>
      </w:pPr>
      <w:r w:rsidRPr="00717623">
        <w:rPr>
          <w:rFonts w:ascii="Times New Roman" w:hAnsi="Times New Roman"/>
        </w:rPr>
        <w:t>20 September 2017</w:t>
      </w:r>
    </w:p>
    <w:p w14:paraId="7F600289" w14:textId="77777777" w:rsidR="00C37CEF" w:rsidRDefault="00C37CEF" w:rsidP="00633C2F">
      <w:pPr>
        <w:pStyle w:val="ListParagraph"/>
        <w:ind w:left="0"/>
        <w:rPr>
          <w:rFonts w:ascii="Times New Roman" w:hAnsi="Times New Roman"/>
          <w:b/>
        </w:rPr>
      </w:pPr>
    </w:p>
    <w:p w14:paraId="728BDCC2" w14:textId="7489F24A" w:rsidR="00633C2F" w:rsidRPr="00451615" w:rsidRDefault="00101FCB" w:rsidP="004B7731">
      <w:pPr>
        <w:pStyle w:val="ListParagraph"/>
        <w:ind w:left="0"/>
        <w:jc w:val="center"/>
        <w:rPr>
          <w:rFonts w:ascii="Times New Roman" w:hAnsi="Times New Roman"/>
          <w:b/>
        </w:rPr>
      </w:pPr>
      <w:r w:rsidRPr="00451615">
        <w:rPr>
          <w:rFonts w:ascii="Times New Roman" w:hAnsi="Times New Roman"/>
          <w:b/>
        </w:rPr>
        <w:t>ISPC Assessment of Flagship-3 (</w:t>
      </w:r>
      <w:r w:rsidR="00BE0776" w:rsidRPr="00451615">
        <w:rPr>
          <w:rFonts w:ascii="Times New Roman" w:hAnsi="Times New Roman"/>
          <w:b/>
        </w:rPr>
        <w:t>Livestock feeds and f</w:t>
      </w:r>
      <w:r w:rsidRPr="00451615">
        <w:rPr>
          <w:rFonts w:ascii="Times New Roman" w:hAnsi="Times New Roman"/>
          <w:b/>
        </w:rPr>
        <w:t xml:space="preserve">orages) of the </w:t>
      </w:r>
      <w:r w:rsidR="002B501E">
        <w:rPr>
          <w:rFonts w:ascii="Times New Roman" w:hAnsi="Times New Roman"/>
          <w:b/>
        </w:rPr>
        <w:t xml:space="preserve">CGIAR Research Program on </w:t>
      </w:r>
      <w:r w:rsidRPr="00451615">
        <w:rPr>
          <w:rFonts w:ascii="Times New Roman" w:hAnsi="Times New Roman"/>
          <w:b/>
        </w:rPr>
        <w:t>Livestock A</w:t>
      </w:r>
      <w:r w:rsidR="002B501E">
        <w:rPr>
          <w:rFonts w:ascii="Times New Roman" w:hAnsi="Times New Roman"/>
          <w:b/>
        </w:rPr>
        <w:t xml:space="preserve">gri-Food System </w:t>
      </w:r>
      <w:r w:rsidRPr="00451615">
        <w:rPr>
          <w:rFonts w:ascii="Times New Roman" w:hAnsi="Times New Roman"/>
          <w:b/>
        </w:rPr>
        <w:t>(2017-2022)</w:t>
      </w:r>
    </w:p>
    <w:p w14:paraId="6FCA6EAF" w14:textId="77777777" w:rsidR="001D3610" w:rsidRPr="00451615" w:rsidRDefault="001D3610" w:rsidP="00633C2F">
      <w:pPr>
        <w:pStyle w:val="ListParagraph"/>
        <w:ind w:left="0"/>
        <w:rPr>
          <w:rFonts w:ascii="Times New Roman" w:hAnsi="Times New Roman"/>
        </w:rPr>
      </w:pPr>
    </w:p>
    <w:p w14:paraId="44051E3E" w14:textId="2A6490C7" w:rsidR="00F869D0" w:rsidRPr="00451615" w:rsidRDefault="00633C2F" w:rsidP="00CD7806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/>
          <w:b/>
        </w:rPr>
      </w:pPr>
      <w:r w:rsidRPr="00451615">
        <w:rPr>
          <w:rFonts w:ascii="Times New Roman" w:hAnsi="Times New Roman"/>
          <w:b/>
        </w:rPr>
        <w:t>Summary</w:t>
      </w:r>
    </w:p>
    <w:p w14:paraId="2317EF07" w14:textId="5C4DC9B7" w:rsidR="00124A96" w:rsidRDefault="00BE0776" w:rsidP="003C3C06">
      <w:pPr>
        <w:spacing w:before="120" w:after="120" w:line="240" w:lineRule="auto"/>
        <w:rPr>
          <w:rFonts w:ascii="Times New Roman" w:hAnsi="Times New Roman"/>
          <w:lang w:val="en-GB"/>
        </w:rPr>
      </w:pPr>
      <w:r w:rsidRPr="00451615">
        <w:rPr>
          <w:rFonts w:ascii="Times New Roman" w:hAnsi="Times New Roman"/>
          <w:lang w:val="en-GB"/>
        </w:rPr>
        <w:t xml:space="preserve">Flagship 3 </w:t>
      </w:r>
      <w:r w:rsidR="00375899" w:rsidRPr="00451615">
        <w:rPr>
          <w:rFonts w:ascii="Times New Roman" w:hAnsi="Times New Roman"/>
          <w:lang w:val="en-GB"/>
        </w:rPr>
        <w:t>(</w:t>
      </w:r>
      <w:r w:rsidRPr="00451615">
        <w:rPr>
          <w:rFonts w:ascii="Times New Roman" w:hAnsi="Times New Roman"/>
          <w:lang w:val="en-GB"/>
        </w:rPr>
        <w:t>feeds and forages</w:t>
      </w:r>
      <w:r w:rsidR="00375899" w:rsidRPr="00451615">
        <w:rPr>
          <w:rFonts w:ascii="Times New Roman" w:hAnsi="Times New Roman"/>
          <w:lang w:val="en-GB"/>
        </w:rPr>
        <w:t>)</w:t>
      </w:r>
      <w:r w:rsidRPr="00451615">
        <w:rPr>
          <w:rFonts w:ascii="Times New Roman" w:hAnsi="Times New Roman"/>
          <w:lang w:val="en-GB"/>
        </w:rPr>
        <w:t xml:space="preserve"> of the Livestock CRP aims to increase livestock productivity and </w:t>
      </w:r>
      <w:r w:rsidR="00980B4D" w:rsidRPr="00451615">
        <w:rPr>
          <w:rFonts w:ascii="Times New Roman" w:hAnsi="Times New Roman"/>
          <w:lang w:val="en-GB"/>
        </w:rPr>
        <w:t>reduce environmental impact</w:t>
      </w:r>
      <w:r w:rsidR="00A65740" w:rsidRPr="00451615">
        <w:rPr>
          <w:rFonts w:ascii="Times New Roman" w:hAnsi="Times New Roman"/>
          <w:lang w:val="en-GB"/>
        </w:rPr>
        <w:t>s by identifying, testing</w:t>
      </w:r>
      <w:r w:rsidR="00717623">
        <w:rPr>
          <w:rFonts w:ascii="Times New Roman" w:hAnsi="Times New Roman"/>
          <w:lang w:val="en-GB"/>
        </w:rPr>
        <w:t>,</w:t>
      </w:r>
      <w:r w:rsidR="00A65740" w:rsidRPr="00451615">
        <w:rPr>
          <w:rFonts w:ascii="Times New Roman" w:hAnsi="Times New Roman"/>
          <w:lang w:val="en-GB"/>
        </w:rPr>
        <w:t xml:space="preserve"> and delivering superior feed and forage strategies and options.</w:t>
      </w:r>
      <w:r w:rsidR="00980B4D" w:rsidRPr="00451615">
        <w:rPr>
          <w:rFonts w:ascii="Times New Roman" w:hAnsi="Times New Roman"/>
          <w:lang w:val="en-GB"/>
        </w:rPr>
        <w:t xml:space="preserve"> </w:t>
      </w:r>
      <w:r w:rsidR="00457588">
        <w:rPr>
          <w:rFonts w:ascii="Times New Roman" w:hAnsi="Times New Roman"/>
          <w:lang w:val="en-GB"/>
        </w:rPr>
        <w:t xml:space="preserve">In its September 2016 assessment, the ISPC rated FP3 as weak on the basis of </w:t>
      </w:r>
      <w:r w:rsidR="00047E9D">
        <w:rPr>
          <w:rFonts w:ascii="Times New Roman" w:hAnsi="Times New Roman"/>
          <w:lang w:val="en-GB"/>
        </w:rPr>
        <w:t>weak</w:t>
      </w:r>
      <w:r w:rsidR="00457588">
        <w:rPr>
          <w:rFonts w:ascii="Times New Roman" w:hAnsi="Times New Roman"/>
          <w:lang w:val="en-GB"/>
        </w:rPr>
        <w:t xml:space="preserve"> track record of delivery at scale; </w:t>
      </w:r>
      <w:r w:rsidR="00457588" w:rsidRPr="00AA1888">
        <w:rPr>
          <w:rFonts w:ascii="Times New Roman" w:hAnsi="Times New Roman"/>
          <w:lang w:val="en-GB"/>
        </w:rPr>
        <w:t>inadequate</w:t>
      </w:r>
      <w:r w:rsidR="00457588">
        <w:rPr>
          <w:rFonts w:ascii="Times New Roman" w:hAnsi="Times New Roman"/>
          <w:lang w:val="en-GB"/>
        </w:rPr>
        <w:t xml:space="preserve"> articulation of its comparative advantage, particularly in relation to the private sector; and lack of detail on research priorities, science outputs, and timelines. </w:t>
      </w:r>
    </w:p>
    <w:p w14:paraId="5783C6A4" w14:textId="284C55D4" w:rsidR="00492466" w:rsidRDefault="005F69D5" w:rsidP="00A442FE">
      <w:pPr>
        <w:spacing w:before="120" w:after="120" w:line="240" w:lineRule="auto"/>
        <w:rPr>
          <w:rFonts w:ascii="Times New Roman" w:hAnsi="Times New Roman"/>
          <w:lang w:val="en-GB"/>
        </w:rPr>
      </w:pPr>
      <w:r w:rsidRPr="00525F1B">
        <w:rPr>
          <w:rFonts w:ascii="Times New Roman" w:hAnsi="Times New Roman"/>
          <w:b/>
          <w:lang w:val="en-GB"/>
        </w:rPr>
        <w:t>The ISPC</w:t>
      </w:r>
      <w:r w:rsidR="00124A96">
        <w:rPr>
          <w:rFonts w:ascii="Times New Roman" w:hAnsi="Times New Roman"/>
          <w:b/>
          <w:lang w:val="en-GB"/>
        </w:rPr>
        <w:t>’s</w:t>
      </w:r>
      <w:r w:rsidRPr="00525F1B">
        <w:rPr>
          <w:rFonts w:ascii="Times New Roman" w:hAnsi="Times New Roman"/>
          <w:b/>
          <w:lang w:val="en-GB"/>
        </w:rPr>
        <w:t xml:space="preserve"> rat</w:t>
      </w:r>
      <w:r w:rsidR="00124A96">
        <w:rPr>
          <w:rFonts w:ascii="Times New Roman" w:hAnsi="Times New Roman"/>
          <w:b/>
          <w:lang w:val="en-GB"/>
        </w:rPr>
        <w:t xml:space="preserve">ing of </w:t>
      </w:r>
      <w:r w:rsidRPr="00525F1B">
        <w:rPr>
          <w:rFonts w:ascii="Times New Roman" w:hAnsi="Times New Roman"/>
          <w:b/>
          <w:lang w:val="en-GB"/>
        </w:rPr>
        <w:t xml:space="preserve">this </w:t>
      </w:r>
      <w:r w:rsidR="00124A96">
        <w:rPr>
          <w:rFonts w:ascii="Times New Roman" w:hAnsi="Times New Roman"/>
          <w:b/>
          <w:lang w:val="en-GB"/>
        </w:rPr>
        <w:t xml:space="preserve">FP’s </w:t>
      </w:r>
      <w:r w:rsidRPr="00525F1B">
        <w:rPr>
          <w:rFonts w:ascii="Times New Roman" w:hAnsi="Times New Roman"/>
          <w:b/>
          <w:lang w:val="en-GB"/>
        </w:rPr>
        <w:t>resubmission</w:t>
      </w:r>
      <w:r w:rsidR="00124A96">
        <w:rPr>
          <w:rFonts w:ascii="Times New Roman" w:hAnsi="Times New Roman"/>
          <w:b/>
          <w:lang w:val="en-GB"/>
        </w:rPr>
        <w:t xml:space="preserve"> is</w:t>
      </w:r>
      <w:r w:rsidRPr="00525F1B">
        <w:rPr>
          <w:rFonts w:ascii="Times New Roman" w:hAnsi="Times New Roman"/>
          <w:b/>
          <w:lang w:val="en-GB"/>
        </w:rPr>
        <w:t xml:space="preserve"> </w:t>
      </w:r>
      <w:r w:rsidR="000433CE">
        <w:rPr>
          <w:rFonts w:ascii="Times New Roman" w:hAnsi="Times New Roman"/>
          <w:b/>
          <w:lang w:val="en-GB"/>
        </w:rPr>
        <w:t xml:space="preserve">still </w:t>
      </w:r>
      <w:r w:rsidRPr="00525F1B">
        <w:rPr>
          <w:rFonts w:ascii="Times New Roman" w:hAnsi="Times New Roman"/>
          <w:b/>
          <w:lang w:val="en-GB"/>
        </w:rPr>
        <w:t>weak</w:t>
      </w:r>
      <w:r>
        <w:rPr>
          <w:rFonts w:ascii="Times New Roman" w:hAnsi="Times New Roman"/>
          <w:lang w:val="en-GB"/>
        </w:rPr>
        <w:t>.</w:t>
      </w:r>
      <w:r w:rsidR="00124A96">
        <w:rPr>
          <w:rFonts w:ascii="Times New Roman" w:hAnsi="Times New Roman"/>
          <w:lang w:val="en-GB"/>
        </w:rPr>
        <w:t xml:space="preserve"> </w:t>
      </w:r>
      <w:r w:rsidR="00380708">
        <w:rPr>
          <w:rFonts w:ascii="Times New Roman" w:hAnsi="Times New Roman"/>
          <w:lang w:val="en-GB"/>
        </w:rPr>
        <w:t>T</w:t>
      </w:r>
      <w:r w:rsidR="00380708" w:rsidRPr="00492466">
        <w:rPr>
          <w:rFonts w:ascii="Times New Roman" w:hAnsi="Times New Roman"/>
          <w:lang w:val="en-GB"/>
        </w:rPr>
        <w:t xml:space="preserve">he FP-level targets have been adjusted, in response to concerns about </w:t>
      </w:r>
      <w:r w:rsidR="00717623" w:rsidRPr="00492466">
        <w:rPr>
          <w:rFonts w:ascii="Times New Roman" w:hAnsi="Times New Roman"/>
          <w:lang w:val="en-GB"/>
        </w:rPr>
        <w:t>exaggerated</w:t>
      </w:r>
      <w:r w:rsidR="00380708" w:rsidRPr="00492466">
        <w:rPr>
          <w:rFonts w:ascii="Times New Roman" w:hAnsi="Times New Roman"/>
          <w:lang w:val="en-GB"/>
        </w:rPr>
        <w:t xml:space="preserve"> targets. </w:t>
      </w:r>
      <w:r w:rsidR="00380708">
        <w:rPr>
          <w:rFonts w:ascii="Times New Roman" w:hAnsi="Times New Roman"/>
          <w:lang w:val="en-GB"/>
        </w:rPr>
        <w:t xml:space="preserve">However, the </w:t>
      </w:r>
      <w:r w:rsidR="0073532B">
        <w:rPr>
          <w:rFonts w:ascii="Times New Roman" w:hAnsi="Times New Roman"/>
          <w:lang w:val="en-GB"/>
        </w:rPr>
        <w:t>research program is not convincingly aligned with major</w:t>
      </w:r>
      <w:r w:rsidR="00492466">
        <w:rPr>
          <w:rFonts w:ascii="Times New Roman" w:hAnsi="Times New Roman"/>
          <w:lang w:val="en-GB"/>
        </w:rPr>
        <w:t xml:space="preserve"> </w:t>
      </w:r>
      <w:r w:rsidR="00492466" w:rsidRPr="00492466">
        <w:rPr>
          <w:rFonts w:ascii="Times New Roman" w:hAnsi="Times New Roman"/>
          <w:lang w:val="en-GB"/>
        </w:rPr>
        <w:t>opportunities in various contexts</w:t>
      </w:r>
      <w:r w:rsidR="00717EBB">
        <w:rPr>
          <w:rFonts w:ascii="Times New Roman" w:hAnsi="Times New Roman"/>
          <w:lang w:val="en-GB"/>
        </w:rPr>
        <w:t xml:space="preserve"> </w:t>
      </w:r>
      <w:r w:rsidR="00717EBB" w:rsidRPr="00492466">
        <w:rPr>
          <w:rFonts w:ascii="Times New Roman" w:hAnsi="Times New Roman"/>
          <w:lang w:val="en-GB"/>
        </w:rPr>
        <w:t>(dual purpose crops, delivery and</w:t>
      </w:r>
      <w:r w:rsidR="00717EBB">
        <w:rPr>
          <w:rFonts w:ascii="Times New Roman" w:hAnsi="Times New Roman"/>
          <w:lang w:val="en-GB"/>
        </w:rPr>
        <w:t xml:space="preserve"> market linkages, etc.)</w:t>
      </w:r>
      <w:r w:rsidR="00492466" w:rsidRPr="00492466">
        <w:rPr>
          <w:rFonts w:ascii="Times New Roman" w:hAnsi="Times New Roman"/>
          <w:lang w:val="en-GB"/>
        </w:rPr>
        <w:t xml:space="preserve"> and the associated constraints in the forages and feed sector</w:t>
      </w:r>
      <w:r w:rsidR="00492466">
        <w:rPr>
          <w:rFonts w:ascii="Times New Roman" w:hAnsi="Times New Roman"/>
          <w:lang w:val="en-GB"/>
        </w:rPr>
        <w:t xml:space="preserve"> </w:t>
      </w:r>
      <w:r w:rsidR="00492466" w:rsidRPr="00492466">
        <w:rPr>
          <w:rFonts w:ascii="Times New Roman" w:hAnsi="Times New Roman"/>
          <w:lang w:val="en-GB"/>
        </w:rPr>
        <w:t>to deliver impact</w:t>
      </w:r>
      <w:r w:rsidR="0073532B">
        <w:rPr>
          <w:rFonts w:ascii="Times New Roman" w:hAnsi="Times New Roman"/>
          <w:lang w:val="en-GB"/>
        </w:rPr>
        <w:t xml:space="preserve">. </w:t>
      </w:r>
      <w:r w:rsidR="0073532B" w:rsidRPr="0073532B">
        <w:rPr>
          <w:rFonts w:ascii="Times New Roman" w:hAnsi="Times New Roman"/>
          <w:lang w:val="en-GB"/>
        </w:rPr>
        <w:t xml:space="preserve">In the absence of </w:t>
      </w:r>
      <w:r w:rsidR="00717623">
        <w:rPr>
          <w:rFonts w:ascii="Times New Roman" w:hAnsi="Times New Roman"/>
          <w:lang w:val="en-GB"/>
        </w:rPr>
        <w:t>a track record and</w:t>
      </w:r>
      <w:r w:rsidR="0073532B" w:rsidRPr="0073532B">
        <w:rPr>
          <w:rFonts w:ascii="Times New Roman" w:hAnsi="Times New Roman"/>
          <w:lang w:val="en-GB"/>
        </w:rPr>
        <w:t xml:space="preserve"> </w:t>
      </w:r>
      <w:r w:rsidR="00717623">
        <w:rPr>
          <w:rFonts w:ascii="Times New Roman" w:hAnsi="Times New Roman"/>
          <w:i/>
          <w:lang w:val="en-GB"/>
        </w:rPr>
        <w:t>ex-</w:t>
      </w:r>
      <w:r w:rsidR="0073532B" w:rsidRPr="0073532B">
        <w:rPr>
          <w:rFonts w:ascii="Times New Roman" w:hAnsi="Times New Roman"/>
          <w:i/>
          <w:lang w:val="en-GB"/>
        </w:rPr>
        <w:t>ante</w:t>
      </w:r>
      <w:r w:rsidR="0073532B" w:rsidRPr="0073532B">
        <w:rPr>
          <w:rFonts w:ascii="Times New Roman" w:hAnsi="Times New Roman"/>
          <w:lang w:val="en-GB"/>
        </w:rPr>
        <w:t xml:space="preserve"> evidence, the assumptions underlying the impact pathway </w:t>
      </w:r>
      <w:r w:rsidR="00C37177">
        <w:rPr>
          <w:rFonts w:ascii="Times New Roman" w:hAnsi="Times New Roman"/>
          <w:lang w:val="en-GB"/>
        </w:rPr>
        <w:t>are</w:t>
      </w:r>
      <w:r w:rsidR="0073532B" w:rsidRPr="0073532B">
        <w:rPr>
          <w:rFonts w:ascii="Times New Roman" w:hAnsi="Times New Roman"/>
          <w:lang w:val="en-GB"/>
        </w:rPr>
        <w:t xml:space="preserve"> </w:t>
      </w:r>
      <w:r w:rsidR="00C37177">
        <w:rPr>
          <w:rFonts w:ascii="Times New Roman" w:hAnsi="Times New Roman"/>
          <w:lang w:val="en-GB"/>
        </w:rPr>
        <w:t>too</w:t>
      </w:r>
      <w:r w:rsidR="00C37177" w:rsidRPr="0073532B">
        <w:rPr>
          <w:rFonts w:ascii="Times New Roman" w:hAnsi="Times New Roman"/>
          <w:lang w:val="en-GB"/>
        </w:rPr>
        <w:t xml:space="preserve"> </w:t>
      </w:r>
      <w:r w:rsidR="0073532B" w:rsidRPr="0073532B">
        <w:rPr>
          <w:rFonts w:ascii="Times New Roman" w:hAnsi="Times New Roman"/>
          <w:lang w:val="en-GB"/>
        </w:rPr>
        <w:t xml:space="preserve">optimistic. </w:t>
      </w:r>
      <w:r w:rsidR="00B41D82">
        <w:rPr>
          <w:rFonts w:ascii="Times New Roman" w:hAnsi="Times New Roman"/>
          <w:lang w:val="en-GB"/>
        </w:rPr>
        <w:t>The candid</w:t>
      </w:r>
      <w:r w:rsidR="00B41D82" w:rsidRPr="00451615">
        <w:rPr>
          <w:rFonts w:ascii="Times New Roman" w:hAnsi="Times New Roman"/>
          <w:lang w:val="en-GB"/>
        </w:rPr>
        <w:t xml:space="preserve"> acknowledg</w:t>
      </w:r>
      <w:r w:rsidR="00AA46AA">
        <w:rPr>
          <w:rFonts w:ascii="Times New Roman" w:hAnsi="Times New Roman"/>
          <w:lang w:val="en-GB"/>
        </w:rPr>
        <w:t>ement of th</w:t>
      </w:r>
      <w:r w:rsidR="00492466">
        <w:rPr>
          <w:rFonts w:ascii="Times New Roman" w:hAnsi="Times New Roman"/>
          <w:lang w:val="en-GB"/>
        </w:rPr>
        <w:t>is</w:t>
      </w:r>
      <w:r w:rsidR="00AA46AA">
        <w:rPr>
          <w:rFonts w:ascii="Times New Roman" w:hAnsi="Times New Roman"/>
          <w:lang w:val="en-GB"/>
        </w:rPr>
        <w:t xml:space="preserve"> lack of evidence (</w:t>
      </w:r>
      <w:r w:rsidR="00717623">
        <w:rPr>
          <w:rFonts w:ascii="Times New Roman" w:hAnsi="Times New Roman"/>
          <w:i/>
          <w:lang w:val="en-GB"/>
        </w:rPr>
        <w:t>ex-</w:t>
      </w:r>
      <w:r w:rsidR="00B41D82" w:rsidRPr="00451615">
        <w:rPr>
          <w:rFonts w:ascii="Times New Roman" w:hAnsi="Times New Roman"/>
          <w:i/>
          <w:lang w:val="en-GB"/>
        </w:rPr>
        <w:t>ante</w:t>
      </w:r>
      <w:r w:rsidR="00B41D82" w:rsidRPr="00451615">
        <w:rPr>
          <w:rFonts w:ascii="Times New Roman" w:hAnsi="Times New Roman"/>
          <w:lang w:val="en-GB"/>
        </w:rPr>
        <w:t xml:space="preserve"> as well as </w:t>
      </w:r>
      <w:r w:rsidR="00717623">
        <w:rPr>
          <w:rFonts w:ascii="Times New Roman" w:hAnsi="Times New Roman"/>
          <w:i/>
          <w:lang w:val="en-GB"/>
        </w:rPr>
        <w:t>ex-</w:t>
      </w:r>
      <w:r w:rsidR="00B41D82" w:rsidRPr="00451615">
        <w:rPr>
          <w:rFonts w:ascii="Times New Roman" w:hAnsi="Times New Roman"/>
          <w:i/>
          <w:lang w:val="en-GB"/>
        </w:rPr>
        <w:t>post</w:t>
      </w:r>
      <w:r w:rsidR="00AA46AA">
        <w:rPr>
          <w:rFonts w:ascii="Times New Roman" w:hAnsi="Times New Roman"/>
          <w:lang w:val="en-GB"/>
        </w:rPr>
        <w:t>)</w:t>
      </w:r>
      <w:r w:rsidR="00B41D82">
        <w:rPr>
          <w:rFonts w:ascii="Times New Roman" w:hAnsi="Times New Roman"/>
          <w:lang w:val="en-GB"/>
        </w:rPr>
        <w:t xml:space="preserve"> </w:t>
      </w:r>
      <w:r w:rsidR="00B41D82" w:rsidRPr="00451615">
        <w:rPr>
          <w:rFonts w:ascii="Times New Roman" w:hAnsi="Times New Roman"/>
          <w:lang w:val="en-GB"/>
        </w:rPr>
        <w:t>on</w:t>
      </w:r>
      <w:r w:rsidR="00B41D82">
        <w:rPr>
          <w:rFonts w:ascii="Times New Roman" w:hAnsi="Times New Roman"/>
          <w:lang w:val="en-GB"/>
        </w:rPr>
        <w:t xml:space="preserve"> the </w:t>
      </w:r>
      <w:r w:rsidR="00B41D82" w:rsidRPr="00451615">
        <w:rPr>
          <w:rFonts w:ascii="Times New Roman" w:hAnsi="Times New Roman"/>
          <w:lang w:val="en-GB"/>
        </w:rPr>
        <w:t>uptake of research-rel</w:t>
      </w:r>
      <w:r w:rsidR="00717623">
        <w:rPr>
          <w:rFonts w:ascii="Times New Roman" w:hAnsi="Times New Roman"/>
          <w:lang w:val="en-GB"/>
        </w:rPr>
        <w:t>ated feed and forage innovation</w:t>
      </w:r>
      <w:r w:rsidR="00B41D82" w:rsidRPr="00451615">
        <w:rPr>
          <w:rFonts w:ascii="Times New Roman" w:hAnsi="Times New Roman"/>
          <w:lang w:val="en-GB"/>
        </w:rPr>
        <w:t>, and a</w:t>
      </w:r>
      <w:r w:rsidR="00B41D82">
        <w:rPr>
          <w:rFonts w:ascii="Times New Roman" w:hAnsi="Times New Roman"/>
          <w:lang w:val="en-GB"/>
        </w:rPr>
        <w:t>n</w:t>
      </w:r>
      <w:r w:rsidR="00B41D82" w:rsidRPr="00451615">
        <w:rPr>
          <w:rFonts w:ascii="Times New Roman" w:hAnsi="Times New Roman"/>
          <w:lang w:val="en-GB"/>
        </w:rPr>
        <w:t xml:space="preserve"> </w:t>
      </w:r>
      <w:r w:rsidR="00B41D82">
        <w:rPr>
          <w:rFonts w:ascii="Times New Roman" w:hAnsi="Times New Roman"/>
          <w:lang w:val="en-GB"/>
        </w:rPr>
        <w:t>i</w:t>
      </w:r>
      <w:r w:rsidR="00B41D82" w:rsidRPr="00451615">
        <w:rPr>
          <w:rFonts w:ascii="Times New Roman" w:hAnsi="Times New Roman"/>
          <w:lang w:val="en-GB"/>
        </w:rPr>
        <w:t>ntent to address this gap</w:t>
      </w:r>
      <w:r w:rsidR="00B41D82">
        <w:rPr>
          <w:rFonts w:ascii="Times New Roman" w:hAnsi="Times New Roman"/>
          <w:lang w:val="en-GB"/>
        </w:rPr>
        <w:t xml:space="preserve"> is appreciated</w:t>
      </w:r>
      <w:r w:rsidR="00B41D82" w:rsidRPr="00451615">
        <w:rPr>
          <w:rFonts w:ascii="Times New Roman" w:hAnsi="Times New Roman"/>
          <w:lang w:val="en-GB"/>
        </w:rPr>
        <w:t>.</w:t>
      </w:r>
      <w:r w:rsidR="006864AC">
        <w:rPr>
          <w:rFonts w:ascii="Times New Roman" w:hAnsi="Times New Roman"/>
          <w:lang w:val="en-GB"/>
        </w:rPr>
        <w:t xml:space="preserve"> However, the balance of efforts on this issue between</w:t>
      </w:r>
      <w:r w:rsidR="006864AC" w:rsidRPr="00451615">
        <w:rPr>
          <w:rFonts w:ascii="Times New Roman" w:hAnsi="Times New Roman"/>
          <w:lang w:val="en-GB"/>
        </w:rPr>
        <w:t xml:space="preserve"> FP3 and FP5 CoA1, which seems the logical place to locate foresight </w:t>
      </w:r>
      <w:r w:rsidR="00717623">
        <w:rPr>
          <w:rFonts w:ascii="Times New Roman" w:hAnsi="Times New Roman"/>
          <w:lang w:val="en-GB"/>
        </w:rPr>
        <w:t>activities</w:t>
      </w:r>
      <w:r w:rsidR="006864AC" w:rsidRPr="00451615">
        <w:rPr>
          <w:rFonts w:ascii="Times New Roman" w:hAnsi="Times New Roman"/>
          <w:lang w:val="en-GB"/>
        </w:rPr>
        <w:t xml:space="preserve">, </w:t>
      </w:r>
      <w:r w:rsidR="006864AC">
        <w:rPr>
          <w:rFonts w:ascii="Times New Roman" w:hAnsi="Times New Roman"/>
          <w:lang w:val="en-GB"/>
        </w:rPr>
        <w:t xml:space="preserve">is not </w:t>
      </w:r>
      <w:r w:rsidR="00D55450">
        <w:rPr>
          <w:rFonts w:ascii="Times New Roman" w:hAnsi="Times New Roman"/>
          <w:lang w:val="en-GB"/>
        </w:rPr>
        <w:t>evident</w:t>
      </w:r>
      <w:r w:rsidR="006864AC" w:rsidRPr="00451615">
        <w:rPr>
          <w:rFonts w:ascii="Times New Roman" w:hAnsi="Times New Roman"/>
          <w:lang w:val="en-GB"/>
        </w:rPr>
        <w:t>.</w:t>
      </w:r>
      <w:r w:rsidR="00C03129" w:rsidRPr="00C03129">
        <w:rPr>
          <w:rFonts w:ascii="Times New Roman" w:hAnsi="Times New Roman"/>
          <w:lang w:val="en-GB"/>
        </w:rPr>
        <w:t xml:space="preserve"> </w:t>
      </w:r>
      <w:r w:rsidR="00A442FE">
        <w:rPr>
          <w:rFonts w:ascii="Times New Roman" w:hAnsi="Times New Roman"/>
          <w:lang w:val="en-GB"/>
        </w:rPr>
        <w:t>Moreover</w:t>
      </w:r>
      <w:r w:rsidR="003E62A7">
        <w:rPr>
          <w:rFonts w:ascii="Times New Roman" w:hAnsi="Times New Roman"/>
          <w:lang w:val="en-GB"/>
        </w:rPr>
        <w:t xml:space="preserve">, the </w:t>
      </w:r>
      <w:r w:rsidR="00C03129">
        <w:rPr>
          <w:rFonts w:ascii="Times New Roman" w:hAnsi="Times New Roman"/>
          <w:lang w:val="en-GB"/>
        </w:rPr>
        <w:t xml:space="preserve">comparative advantage of the CGIAR </w:t>
      </w:r>
      <w:r w:rsidR="00C03129" w:rsidRPr="00717623">
        <w:rPr>
          <w:rFonts w:ascii="Times New Roman" w:hAnsi="Times New Roman"/>
          <w:i/>
          <w:lang w:val="en-GB"/>
        </w:rPr>
        <w:t>vis-à-vis</w:t>
      </w:r>
      <w:r w:rsidR="00C03129">
        <w:rPr>
          <w:rFonts w:ascii="Times New Roman" w:hAnsi="Times New Roman"/>
          <w:lang w:val="en-GB"/>
        </w:rPr>
        <w:t xml:space="preserve"> the private sector and NARS is not </w:t>
      </w:r>
      <w:r w:rsidR="00774329">
        <w:rPr>
          <w:rFonts w:ascii="Times New Roman" w:hAnsi="Times New Roman"/>
          <w:lang w:val="en-GB"/>
        </w:rPr>
        <w:t>convincingly argued</w:t>
      </w:r>
      <w:r w:rsidR="00C03129">
        <w:rPr>
          <w:rFonts w:ascii="Times New Roman" w:hAnsi="Times New Roman"/>
          <w:lang w:val="en-GB"/>
        </w:rPr>
        <w:t>.</w:t>
      </w:r>
      <w:r w:rsidR="00492466" w:rsidRPr="00492466">
        <w:rPr>
          <w:rFonts w:ascii="Times New Roman" w:hAnsi="Times New Roman"/>
          <w:lang w:val="en-GB"/>
        </w:rPr>
        <w:t xml:space="preserve"> </w:t>
      </w:r>
    </w:p>
    <w:p w14:paraId="295C31E1" w14:textId="1D840D04" w:rsidR="00633C2F" w:rsidRPr="000B18D7" w:rsidRDefault="00633C2F" w:rsidP="000B18D7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/>
          <w:b/>
        </w:rPr>
      </w:pPr>
      <w:r w:rsidRPr="000B18D7">
        <w:rPr>
          <w:rFonts w:ascii="Times New Roman" w:hAnsi="Times New Roman"/>
          <w:b/>
        </w:rPr>
        <w:t>Assessment of CRP response to the ISPC major comments</w:t>
      </w:r>
      <w:r w:rsidR="005440C9" w:rsidRPr="000B18D7">
        <w:rPr>
          <w:rFonts w:ascii="Times New Roman" w:hAnsi="Times New Roman"/>
          <w:b/>
        </w:rPr>
        <w:t xml:space="preserve"> </w:t>
      </w:r>
      <w:r w:rsidR="003770D7" w:rsidRPr="000B18D7">
        <w:rPr>
          <w:rFonts w:ascii="Times New Roman" w:hAnsi="Times New Roman"/>
          <w:b/>
        </w:rPr>
        <w:t>on the FP</w:t>
      </w:r>
    </w:p>
    <w:p w14:paraId="50F258CF" w14:textId="77777777" w:rsidR="00633C2F" w:rsidRPr="00451615" w:rsidRDefault="00633C2F" w:rsidP="00633C2F">
      <w:pPr>
        <w:pStyle w:val="ListParagraph"/>
        <w:rPr>
          <w:rFonts w:ascii="Times New Roman" w:hAnsi="Times New Roman"/>
        </w:rPr>
      </w:pPr>
    </w:p>
    <w:tbl>
      <w:tblPr>
        <w:tblStyle w:val="TableGrid"/>
        <w:tblW w:w="9990" w:type="dxa"/>
        <w:tblInd w:w="-5" w:type="dxa"/>
        <w:tblLook w:val="04A0" w:firstRow="1" w:lastRow="0" w:firstColumn="1" w:lastColumn="0" w:noHBand="0" w:noVBand="1"/>
      </w:tblPr>
      <w:tblGrid>
        <w:gridCol w:w="2250"/>
        <w:gridCol w:w="3870"/>
        <w:gridCol w:w="3870"/>
      </w:tblGrid>
      <w:tr w:rsidR="00633C2F" w:rsidRPr="00451615" w14:paraId="38604A1D" w14:textId="77777777" w:rsidTr="00B60617">
        <w:tc>
          <w:tcPr>
            <w:tcW w:w="2250" w:type="dxa"/>
          </w:tcPr>
          <w:p w14:paraId="7C45CF64" w14:textId="3C721768" w:rsidR="00633C2F" w:rsidRPr="00451615" w:rsidRDefault="00A07499" w:rsidP="004B7731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 w:rsidRPr="00451615">
              <w:rPr>
                <w:rFonts w:ascii="Times New Roman" w:hAnsi="Times New Roman"/>
                <w:b/>
              </w:rPr>
              <w:t>Previous</w:t>
            </w:r>
            <w:r w:rsidR="00633C2F" w:rsidRPr="00451615">
              <w:rPr>
                <w:rFonts w:ascii="Times New Roman" w:hAnsi="Times New Roman"/>
                <w:b/>
              </w:rPr>
              <w:t xml:space="preserve"> ISPC comment</w:t>
            </w:r>
            <w:r w:rsidRPr="00451615">
              <w:rPr>
                <w:rFonts w:ascii="Times New Roman" w:hAnsi="Times New Roman"/>
                <w:b/>
              </w:rPr>
              <w:t>s</w:t>
            </w:r>
            <w:r w:rsidR="00633C2F" w:rsidRPr="00451615">
              <w:rPr>
                <w:rFonts w:ascii="Times New Roman" w:hAnsi="Times New Roman"/>
                <w:b/>
              </w:rPr>
              <w:t xml:space="preserve"> </w:t>
            </w:r>
            <w:r w:rsidRPr="00451615">
              <w:rPr>
                <w:rFonts w:ascii="Times New Roman" w:hAnsi="Times New Roman"/>
                <w:b/>
              </w:rPr>
              <w:t xml:space="preserve"> </w:t>
            </w:r>
            <w:r w:rsidR="00633C2F" w:rsidRPr="00451615">
              <w:rPr>
                <w:rFonts w:ascii="Times New Roman" w:hAnsi="Times New Roman"/>
                <w:b/>
              </w:rPr>
              <w:t>(</w:t>
            </w:r>
            <w:r w:rsidR="004710B1" w:rsidRPr="00451615">
              <w:rPr>
                <w:rFonts w:ascii="Times New Roman" w:hAnsi="Times New Roman"/>
                <w:b/>
              </w:rPr>
              <w:t xml:space="preserve">14 </w:t>
            </w:r>
            <w:r w:rsidRPr="00451615">
              <w:rPr>
                <w:rFonts w:ascii="Times New Roman" w:hAnsi="Times New Roman"/>
                <w:b/>
              </w:rPr>
              <w:t>Sep 2016)</w:t>
            </w:r>
            <w:r w:rsidR="00633C2F" w:rsidRPr="0045161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870" w:type="dxa"/>
          </w:tcPr>
          <w:p w14:paraId="1D323980" w14:textId="77777777" w:rsidR="00633C2F" w:rsidRPr="00451615" w:rsidRDefault="00633C2F" w:rsidP="00633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 w:rsidRPr="00451615">
              <w:rPr>
                <w:rFonts w:ascii="Times New Roman" w:hAnsi="Times New Roman"/>
                <w:b/>
              </w:rPr>
              <w:t>CRP response/changes proposed</w:t>
            </w:r>
          </w:p>
        </w:tc>
        <w:tc>
          <w:tcPr>
            <w:tcW w:w="3870" w:type="dxa"/>
          </w:tcPr>
          <w:p w14:paraId="2AD494E1" w14:textId="77777777" w:rsidR="00633C2F" w:rsidRPr="00451615" w:rsidRDefault="00633C2F" w:rsidP="00633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 w:rsidRPr="00451615">
              <w:rPr>
                <w:rFonts w:ascii="Times New Roman" w:hAnsi="Times New Roman"/>
                <w:b/>
              </w:rPr>
              <w:t>ISPC assessment</w:t>
            </w:r>
          </w:p>
        </w:tc>
      </w:tr>
      <w:tr w:rsidR="00633C2F" w:rsidRPr="00AB326C" w14:paraId="2C21016F" w14:textId="77777777" w:rsidTr="00B60617">
        <w:tc>
          <w:tcPr>
            <w:tcW w:w="2250" w:type="dxa"/>
          </w:tcPr>
          <w:p w14:paraId="61081439" w14:textId="77777777" w:rsidR="00633C2F" w:rsidRPr="00451615" w:rsidRDefault="00857705" w:rsidP="00633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 w:rsidRPr="00451615">
              <w:rPr>
                <w:rFonts w:ascii="Times New Roman" w:hAnsi="Times New Roman"/>
                <w:b/>
              </w:rPr>
              <w:t>1. Weak track record of delivery at scale</w:t>
            </w:r>
          </w:p>
        </w:tc>
        <w:tc>
          <w:tcPr>
            <w:tcW w:w="3870" w:type="dxa"/>
          </w:tcPr>
          <w:p w14:paraId="0DFCB8CF" w14:textId="3D5AE8F6" w:rsidR="008B3360" w:rsidRPr="00451615" w:rsidRDefault="000E3B3B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 xml:space="preserve">The overly optimistic targets acknowledged, and more conservation assumptions on uptake of research outputs and ensuing impact on poverty adopted. </w:t>
            </w:r>
            <w:r w:rsidR="001956EA">
              <w:rPr>
                <w:rFonts w:ascii="Times New Roman" w:hAnsi="Times New Roman"/>
              </w:rPr>
              <w:t xml:space="preserve">Specifically, a 200% spill over effect had been assumed and has been reduced to 50%. One country-level (Pakistan) target was also reduced since there will be limited activities, due to reductions in bilateral funding. </w:t>
            </w:r>
            <w:r w:rsidR="00747539" w:rsidRPr="00451615">
              <w:rPr>
                <w:rFonts w:ascii="Times New Roman" w:hAnsi="Times New Roman"/>
              </w:rPr>
              <w:t>Cross-FP effort on foresight and prioritisation will prioritize the improvement of parameters in models that underline these numbers.</w:t>
            </w:r>
            <w:r w:rsidR="008B3360" w:rsidRPr="00451615">
              <w:rPr>
                <w:rFonts w:ascii="Times New Roman" w:hAnsi="Times New Roman"/>
              </w:rPr>
              <w:t xml:space="preserve"> </w:t>
            </w:r>
          </w:p>
          <w:p w14:paraId="334A9878" w14:textId="77777777" w:rsidR="008B3360" w:rsidRPr="00451615" w:rsidRDefault="008B3360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4FC80112" w14:textId="77777777" w:rsidR="00747539" w:rsidRPr="00451615" w:rsidRDefault="008B3360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 xml:space="preserve">Acknowledge that evidence on improved forage adoption is scarce. Information is available for LAC (&gt;700k ha adoption of hybrids related to the CRP, and overall estimated on improved forage adoption at 150 mn ha, and 120 mn ha attributable to Brazilian NARS). </w:t>
            </w:r>
            <w:r w:rsidR="004533D5" w:rsidRPr="00451615">
              <w:rPr>
                <w:rFonts w:ascii="Times New Roman" w:hAnsi="Times New Roman"/>
              </w:rPr>
              <w:t xml:space="preserve">Proposed targets: 2mn ha by 2022 in LAC, E. Africa and SEA and 600,000 farmers using </w:t>
            </w:r>
            <w:r w:rsidR="004533D5" w:rsidRPr="00451615">
              <w:rPr>
                <w:rFonts w:ascii="Times New Roman" w:hAnsi="Times New Roman"/>
              </w:rPr>
              <w:lastRenderedPageBreak/>
              <w:t>improved forages – this is based on growing interest of private forage and seed sector.</w:t>
            </w:r>
          </w:p>
          <w:p w14:paraId="46DDE256" w14:textId="77777777" w:rsidR="003C1298" w:rsidRPr="00451615" w:rsidRDefault="003C1298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4940CC11" w14:textId="77777777" w:rsidR="003C1298" w:rsidRPr="00451615" w:rsidRDefault="003C1298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 xml:space="preserve">Dearth of </w:t>
            </w:r>
            <w:r w:rsidRPr="00451615">
              <w:rPr>
                <w:rFonts w:ascii="Times New Roman" w:hAnsi="Times New Roman"/>
                <w:i/>
              </w:rPr>
              <w:t>ex ante</w:t>
            </w:r>
            <w:r w:rsidRPr="00451615">
              <w:rPr>
                <w:rFonts w:ascii="Times New Roman" w:hAnsi="Times New Roman"/>
              </w:rPr>
              <w:t xml:space="preserve"> assessments is another gap that the FP will address, but existing (even if limited) </w:t>
            </w:r>
            <w:r w:rsidRPr="00451615">
              <w:rPr>
                <w:rFonts w:ascii="Times New Roman" w:hAnsi="Times New Roman"/>
                <w:i/>
              </w:rPr>
              <w:t>ex ante</w:t>
            </w:r>
            <w:r w:rsidRPr="00451615">
              <w:rPr>
                <w:rFonts w:ascii="Times New Roman" w:hAnsi="Times New Roman"/>
              </w:rPr>
              <w:t xml:space="preserve"> assessments ind</w:t>
            </w:r>
            <w:r w:rsidR="005C4F37" w:rsidRPr="00451615">
              <w:rPr>
                <w:rFonts w:ascii="Times New Roman" w:hAnsi="Times New Roman"/>
              </w:rPr>
              <w:t>icate huge potential in Africa.</w:t>
            </w:r>
          </w:p>
          <w:p w14:paraId="55E18550" w14:textId="77777777" w:rsidR="00747539" w:rsidRPr="00451615" w:rsidRDefault="00747539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14:paraId="47C41F6F" w14:textId="3FDD7320" w:rsidR="00633C2F" w:rsidRPr="00C37CEF" w:rsidRDefault="00717623" w:rsidP="00421DE0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At the</w:t>
            </w:r>
            <w:r w:rsidR="003C7C15">
              <w:rPr>
                <w:rFonts w:ascii="Times New Roman" w:hAnsi="Times New Roman"/>
              </w:rPr>
              <w:t xml:space="preserve"> </w:t>
            </w:r>
            <w:r w:rsidR="003C7C15" w:rsidRPr="00C37CEF">
              <w:rPr>
                <w:rFonts w:ascii="Times New Roman" w:hAnsi="Times New Roman"/>
                <w:lang w:val="en-US"/>
              </w:rPr>
              <w:t>FP-level targets have been adjusted downward, and there is more clarity on priority countries for research outputs under each CoA.</w:t>
            </w:r>
            <w:r>
              <w:t xml:space="preserve"> </w:t>
            </w:r>
            <w:r w:rsidRPr="00717623">
              <w:rPr>
                <w:rFonts w:ascii="Times New Roman" w:hAnsi="Times New Roman"/>
                <w:lang w:val="en-US"/>
              </w:rPr>
              <w:t>The number of farmers reached and acreage for improved cultivar dissemination</w:t>
            </w:r>
            <w:r>
              <w:rPr>
                <w:rFonts w:ascii="Times New Roman" w:hAnsi="Times New Roman"/>
                <w:lang w:val="en-US"/>
              </w:rPr>
              <w:t>, however,</w:t>
            </w:r>
            <w:r w:rsidRPr="00717623">
              <w:rPr>
                <w:rFonts w:ascii="Times New Roman" w:hAnsi="Times New Roman"/>
                <w:lang w:val="en-US"/>
              </w:rPr>
              <w:t xml:space="preserve"> has remained the same at the CoA level.</w:t>
            </w:r>
          </w:p>
          <w:p w14:paraId="49F6C934" w14:textId="77777777" w:rsidR="00D443F0" w:rsidRPr="00451615" w:rsidRDefault="00D443F0" w:rsidP="00E05B7C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1B91AE9A" w14:textId="48CA3D1D" w:rsidR="00CA0AE7" w:rsidRPr="00451615" w:rsidRDefault="00722EBB" w:rsidP="00722EBB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>Candid acknowledgement o</w:t>
            </w:r>
            <w:r w:rsidR="00E1199D" w:rsidRPr="00451615">
              <w:rPr>
                <w:rFonts w:ascii="Times New Roman" w:hAnsi="Times New Roman"/>
              </w:rPr>
              <w:t>f</w:t>
            </w:r>
            <w:r w:rsidRPr="00451615">
              <w:rPr>
                <w:rFonts w:ascii="Times New Roman" w:hAnsi="Times New Roman"/>
              </w:rPr>
              <w:t xml:space="preserve"> the lack of </w:t>
            </w:r>
            <w:r w:rsidRPr="00451615">
              <w:rPr>
                <w:rFonts w:ascii="Times New Roman" w:hAnsi="Times New Roman"/>
                <w:i/>
              </w:rPr>
              <w:t>ex ante</w:t>
            </w:r>
            <w:r w:rsidRPr="00451615">
              <w:rPr>
                <w:rFonts w:ascii="Times New Roman" w:hAnsi="Times New Roman"/>
              </w:rPr>
              <w:t xml:space="preserve"> as well as </w:t>
            </w:r>
            <w:r w:rsidRPr="00451615">
              <w:rPr>
                <w:rFonts w:ascii="Times New Roman" w:hAnsi="Times New Roman"/>
                <w:i/>
              </w:rPr>
              <w:t>ex post</w:t>
            </w:r>
            <w:r w:rsidRPr="00451615">
              <w:rPr>
                <w:rFonts w:ascii="Times New Roman" w:hAnsi="Times New Roman"/>
              </w:rPr>
              <w:t xml:space="preserve"> evidence on uptake of improved forages is appreciated.</w:t>
            </w:r>
            <w:r w:rsidR="00CA0AE7" w:rsidRPr="00451615">
              <w:rPr>
                <w:rFonts w:ascii="Times New Roman" w:hAnsi="Times New Roman"/>
              </w:rPr>
              <w:t xml:space="preserve"> It is important to reflect on the </w:t>
            </w:r>
            <w:r w:rsidR="0021055D" w:rsidRPr="00451615">
              <w:rPr>
                <w:rFonts w:ascii="Times New Roman" w:hAnsi="Times New Roman"/>
              </w:rPr>
              <w:t xml:space="preserve">reasons for this </w:t>
            </w:r>
            <w:r w:rsidR="00A7717D" w:rsidRPr="00451615">
              <w:rPr>
                <w:rFonts w:ascii="Times New Roman" w:hAnsi="Times New Roman"/>
              </w:rPr>
              <w:t>data / knowledge gap</w:t>
            </w:r>
            <w:r w:rsidR="00CA0AE7" w:rsidRPr="00451615">
              <w:rPr>
                <w:rFonts w:ascii="Times New Roman" w:hAnsi="Times New Roman"/>
              </w:rPr>
              <w:t xml:space="preserve">, considering the decades of effort and investments. </w:t>
            </w:r>
          </w:p>
          <w:p w14:paraId="3EE41433" w14:textId="77777777" w:rsidR="00CA0AE7" w:rsidRPr="00451615" w:rsidRDefault="00CA0AE7" w:rsidP="00722EB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4EE7C297" w14:textId="30B84845" w:rsidR="005C29A4" w:rsidRPr="00451615" w:rsidRDefault="005058CE" w:rsidP="00D77DB4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 xml:space="preserve">The emphasis on </w:t>
            </w:r>
            <w:r w:rsidRPr="00451615">
              <w:rPr>
                <w:rFonts w:ascii="Times New Roman" w:hAnsi="Times New Roman"/>
                <w:i/>
              </w:rPr>
              <w:t>ex ante</w:t>
            </w:r>
            <w:r w:rsidR="00E05B7C" w:rsidRPr="00451615">
              <w:rPr>
                <w:rFonts w:ascii="Times New Roman" w:hAnsi="Times New Roman"/>
              </w:rPr>
              <w:t xml:space="preserve"> </w:t>
            </w:r>
            <w:r w:rsidRPr="00451615">
              <w:rPr>
                <w:rFonts w:ascii="Times New Roman" w:hAnsi="Times New Roman"/>
              </w:rPr>
              <w:t xml:space="preserve">assessments (as well as </w:t>
            </w:r>
            <w:r w:rsidRPr="00451615">
              <w:rPr>
                <w:rFonts w:ascii="Times New Roman" w:hAnsi="Times New Roman"/>
                <w:i/>
              </w:rPr>
              <w:t>ex post</w:t>
            </w:r>
            <w:r w:rsidR="00D77DB4">
              <w:rPr>
                <w:rFonts w:ascii="Times New Roman" w:hAnsi="Times New Roman"/>
              </w:rPr>
              <w:t xml:space="preserve">) is appropriate, and </w:t>
            </w:r>
            <w:r w:rsidRPr="00451615">
              <w:rPr>
                <w:rFonts w:ascii="Times New Roman" w:hAnsi="Times New Roman"/>
              </w:rPr>
              <w:t xml:space="preserve">using critical assessments of past experience and changing opportunities to revise </w:t>
            </w:r>
            <w:r w:rsidR="00D77DB4">
              <w:rPr>
                <w:rFonts w:ascii="Times New Roman" w:hAnsi="Times New Roman"/>
              </w:rPr>
              <w:t xml:space="preserve">the </w:t>
            </w:r>
            <w:r w:rsidRPr="00451615">
              <w:rPr>
                <w:rFonts w:ascii="Times New Roman" w:hAnsi="Times New Roman"/>
              </w:rPr>
              <w:t xml:space="preserve">theory of change and impact pathways is </w:t>
            </w:r>
            <w:r w:rsidR="000B67D2" w:rsidRPr="00451615">
              <w:rPr>
                <w:rFonts w:ascii="Times New Roman" w:hAnsi="Times New Roman"/>
              </w:rPr>
              <w:t xml:space="preserve">called for. </w:t>
            </w:r>
            <w:r w:rsidR="004320BD">
              <w:rPr>
                <w:rFonts w:ascii="Times New Roman" w:hAnsi="Times New Roman"/>
              </w:rPr>
              <w:t>At the same time, t</w:t>
            </w:r>
            <w:r w:rsidR="003F1696">
              <w:rPr>
                <w:rFonts w:ascii="Times New Roman" w:hAnsi="Times New Roman"/>
              </w:rPr>
              <w:t xml:space="preserve">he linkage </w:t>
            </w:r>
            <w:r w:rsidR="003F1696">
              <w:rPr>
                <w:rFonts w:ascii="Times New Roman" w:hAnsi="Times New Roman"/>
              </w:rPr>
              <w:lastRenderedPageBreak/>
              <w:t xml:space="preserve">with FP5 and the balance of efforts between FP3 and FP5 is not </w:t>
            </w:r>
            <w:r w:rsidR="00D77DB4">
              <w:rPr>
                <w:rFonts w:ascii="Times New Roman" w:hAnsi="Times New Roman"/>
              </w:rPr>
              <w:t>clear</w:t>
            </w:r>
            <w:r w:rsidR="003F1696">
              <w:rPr>
                <w:rFonts w:ascii="Times New Roman" w:hAnsi="Times New Roman"/>
              </w:rPr>
              <w:t>.</w:t>
            </w:r>
          </w:p>
        </w:tc>
      </w:tr>
      <w:tr w:rsidR="00633C2F" w:rsidRPr="00AB326C" w14:paraId="451CC0F8" w14:textId="77777777" w:rsidTr="00B60617">
        <w:tc>
          <w:tcPr>
            <w:tcW w:w="2250" w:type="dxa"/>
          </w:tcPr>
          <w:p w14:paraId="0940CC5B" w14:textId="633DB24D" w:rsidR="00633C2F" w:rsidRPr="00451615" w:rsidRDefault="00991599" w:rsidP="00633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 w:rsidRPr="00451615">
              <w:rPr>
                <w:rFonts w:ascii="Times New Roman" w:hAnsi="Times New Roman"/>
                <w:b/>
              </w:rPr>
              <w:lastRenderedPageBreak/>
              <w:t>2.</w:t>
            </w:r>
            <w:r w:rsidR="00857705" w:rsidRPr="00451615">
              <w:rPr>
                <w:rFonts w:ascii="Times New Roman" w:hAnsi="Times New Roman"/>
                <w:b/>
              </w:rPr>
              <w:t xml:space="preserve"> Comparative advantage vis-a-via other comparable research and the development of the private sector feed industry is unclear</w:t>
            </w:r>
          </w:p>
          <w:p w14:paraId="15EC680C" w14:textId="77777777" w:rsidR="00991599" w:rsidRPr="00451615" w:rsidRDefault="00991599" w:rsidP="00633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870" w:type="dxa"/>
          </w:tcPr>
          <w:p w14:paraId="2960558C" w14:textId="77777777" w:rsidR="00D84E57" w:rsidRPr="00451615" w:rsidRDefault="00D84E57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>Sections on ‘rationale and scope’ as well as ‘partnerships’ revised to present arguments on why the CGIAR maintains a clear comparative advantage via-a-vis the private sector, NARS and other actors, including that a major seed multinational continues to rely on CGIAR for its forage breeding.</w:t>
            </w:r>
            <w:r w:rsidR="00381AD7" w:rsidRPr="00451615">
              <w:rPr>
                <w:rFonts w:ascii="Times New Roman" w:hAnsi="Times New Roman"/>
              </w:rPr>
              <w:t xml:space="preserve"> At the same time, the private sector is a crucial player in dissemination of research outputs – this is highlighted in the rationale and partnership sections as well.</w:t>
            </w:r>
          </w:p>
          <w:p w14:paraId="6FBEB6BF" w14:textId="77777777" w:rsidR="00D84E57" w:rsidRPr="00451615" w:rsidRDefault="00D84E57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0275A3E5" w14:textId="77777777" w:rsidR="00633C2F" w:rsidRPr="00451615" w:rsidRDefault="00D84E57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 xml:space="preserve">Acknowledge that addressing forage and feeds constraints is a delivery issue, and this dimension given priority / prominence in the narrative as well. W1/W2 funds shifted to achieve a better balance between development (CoA 2), targeting (CoA 1), </w:t>
            </w:r>
            <w:r w:rsidR="002C35FA" w:rsidRPr="00451615">
              <w:rPr>
                <w:rFonts w:ascii="Times New Roman" w:hAnsi="Times New Roman"/>
              </w:rPr>
              <w:t>delivery and monitoring uptake (CoA 4)</w:t>
            </w:r>
            <w:r w:rsidR="00381AD7" w:rsidRPr="00451615">
              <w:rPr>
                <w:rFonts w:ascii="Times New Roman" w:hAnsi="Times New Roman"/>
              </w:rPr>
              <w:t>.</w:t>
            </w:r>
          </w:p>
        </w:tc>
        <w:tc>
          <w:tcPr>
            <w:tcW w:w="3870" w:type="dxa"/>
          </w:tcPr>
          <w:p w14:paraId="761D27E2" w14:textId="174B487D" w:rsidR="00BB7DF7" w:rsidRPr="00451615" w:rsidRDefault="00BB7DF7" w:rsidP="00243C74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 xml:space="preserve">The increased emphasis on delivery </w:t>
            </w:r>
            <w:r w:rsidR="00471485">
              <w:rPr>
                <w:rFonts w:ascii="Times New Roman" w:hAnsi="Times New Roman"/>
              </w:rPr>
              <w:t>recognizes an</w:t>
            </w:r>
            <w:r w:rsidRPr="00451615">
              <w:rPr>
                <w:rFonts w:ascii="Times New Roman" w:hAnsi="Times New Roman"/>
              </w:rPr>
              <w:t xml:space="preserve"> acknowledged constraint to new forage/feed solutions having impact.</w:t>
            </w:r>
            <w:r w:rsidR="005C29A4" w:rsidRPr="00451615">
              <w:rPr>
                <w:rFonts w:ascii="Times New Roman" w:hAnsi="Times New Roman"/>
              </w:rPr>
              <w:t xml:space="preserve"> </w:t>
            </w:r>
            <w:r w:rsidR="00E30D63" w:rsidRPr="00451615">
              <w:rPr>
                <w:rFonts w:ascii="Times New Roman" w:hAnsi="Times New Roman"/>
              </w:rPr>
              <w:t xml:space="preserve">Whether this will enhance </w:t>
            </w:r>
            <w:r w:rsidR="00471485">
              <w:rPr>
                <w:rFonts w:ascii="Times New Roman" w:hAnsi="Times New Roman"/>
              </w:rPr>
              <w:t xml:space="preserve">the </w:t>
            </w:r>
            <w:r w:rsidR="004320BD">
              <w:rPr>
                <w:rFonts w:ascii="Times New Roman" w:hAnsi="Times New Roman"/>
              </w:rPr>
              <w:t xml:space="preserve">likelihood of </w:t>
            </w:r>
            <w:r w:rsidR="00E30D63" w:rsidRPr="00451615">
              <w:rPr>
                <w:rFonts w:ascii="Times New Roman" w:hAnsi="Times New Roman"/>
              </w:rPr>
              <w:t xml:space="preserve">success is </w:t>
            </w:r>
            <w:r w:rsidR="004320BD">
              <w:rPr>
                <w:rFonts w:ascii="Times New Roman" w:hAnsi="Times New Roman"/>
              </w:rPr>
              <w:t xml:space="preserve">questionable since </w:t>
            </w:r>
            <w:r w:rsidR="00471485">
              <w:rPr>
                <w:rFonts w:ascii="Times New Roman" w:hAnsi="Times New Roman"/>
              </w:rPr>
              <w:t>the outputs</w:t>
            </w:r>
            <w:r w:rsidR="00E30D63" w:rsidRPr="00451615">
              <w:rPr>
                <w:rFonts w:ascii="Times New Roman" w:hAnsi="Times New Roman"/>
              </w:rPr>
              <w:t xml:space="preserve"> that this FP/CRP </w:t>
            </w:r>
            <w:r w:rsidR="004320BD">
              <w:rPr>
                <w:rFonts w:ascii="Times New Roman" w:hAnsi="Times New Roman"/>
              </w:rPr>
              <w:t>focuses on (improved forage varieties)</w:t>
            </w:r>
            <w:r w:rsidR="004320BD" w:rsidRPr="00451615">
              <w:rPr>
                <w:rFonts w:ascii="Times New Roman" w:hAnsi="Times New Roman"/>
              </w:rPr>
              <w:t xml:space="preserve"> </w:t>
            </w:r>
            <w:r w:rsidR="00471485">
              <w:rPr>
                <w:rFonts w:ascii="Times New Roman" w:hAnsi="Times New Roman"/>
              </w:rPr>
              <w:t>are misaligned with</w:t>
            </w:r>
            <w:r w:rsidR="00471485" w:rsidRPr="00451615">
              <w:rPr>
                <w:rFonts w:ascii="Times New Roman" w:hAnsi="Times New Roman"/>
              </w:rPr>
              <w:t xml:space="preserve"> </w:t>
            </w:r>
            <w:r w:rsidR="00E30D63" w:rsidRPr="00451615">
              <w:rPr>
                <w:rFonts w:ascii="Times New Roman" w:hAnsi="Times New Roman"/>
              </w:rPr>
              <w:t xml:space="preserve">the demand / opportunities for forage and feed solutions in South </w:t>
            </w:r>
            <w:r w:rsidR="00FC64AA" w:rsidRPr="00451615">
              <w:rPr>
                <w:rFonts w:ascii="Times New Roman" w:hAnsi="Times New Roman"/>
              </w:rPr>
              <w:t>Asia,</w:t>
            </w:r>
            <w:r w:rsidR="002775D3" w:rsidRPr="00451615">
              <w:rPr>
                <w:rFonts w:ascii="Times New Roman" w:hAnsi="Times New Roman"/>
              </w:rPr>
              <w:t xml:space="preserve"> South-east </w:t>
            </w:r>
            <w:r w:rsidR="00E30D63" w:rsidRPr="00451615">
              <w:rPr>
                <w:rFonts w:ascii="Times New Roman" w:hAnsi="Times New Roman"/>
              </w:rPr>
              <w:t>Asia and Sub-Saharan Africa</w:t>
            </w:r>
            <w:r w:rsidR="00471485">
              <w:rPr>
                <w:rFonts w:ascii="Times New Roman" w:hAnsi="Times New Roman"/>
              </w:rPr>
              <w:t>.</w:t>
            </w:r>
            <w:r w:rsidR="00635F46">
              <w:rPr>
                <w:rFonts w:ascii="Times New Roman" w:hAnsi="Times New Roman"/>
              </w:rPr>
              <w:t xml:space="preserve"> </w:t>
            </w:r>
            <w:r w:rsidR="00D77DB4">
              <w:rPr>
                <w:rFonts w:ascii="Times New Roman" w:hAnsi="Times New Roman"/>
              </w:rPr>
              <w:t>In</w:t>
            </w:r>
            <w:r w:rsidR="00635F46">
              <w:rPr>
                <w:rFonts w:ascii="Times New Roman" w:hAnsi="Times New Roman"/>
              </w:rPr>
              <w:t xml:space="preserve"> many </w:t>
            </w:r>
            <w:r w:rsidR="00D77DB4">
              <w:rPr>
                <w:rFonts w:ascii="Times New Roman" w:hAnsi="Times New Roman"/>
              </w:rPr>
              <w:t>areas</w:t>
            </w:r>
            <w:r w:rsidR="00635F46">
              <w:rPr>
                <w:rFonts w:ascii="Times New Roman" w:hAnsi="Times New Roman"/>
              </w:rPr>
              <w:t xml:space="preserve"> of these regions, it </w:t>
            </w:r>
            <w:r w:rsidR="004320BD">
              <w:rPr>
                <w:rFonts w:ascii="Times New Roman" w:hAnsi="Times New Roman"/>
              </w:rPr>
              <w:t xml:space="preserve">would appear </w:t>
            </w:r>
            <w:r w:rsidR="00635F46">
              <w:rPr>
                <w:rFonts w:ascii="Times New Roman" w:hAnsi="Times New Roman"/>
              </w:rPr>
              <w:t>that the opportunities are in dual purpose crops</w:t>
            </w:r>
            <w:r w:rsidR="00E30D63" w:rsidRPr="00451615">
              <w:rPr>
                <w:rFonts w:ascii="Times New Roman" w:hAnsi="Times New Roman"/>
              </w:rPr>
              <w:t>.</w:t>
            </w:r>
          </w:p>
          <w:p w14:paraId="579002F0" w14:textId="77777777" w:rsidR="00BB7DF7" w:rsidRPr="00451615" w:rsidRDefault="00BB7DF7" w:rsidP="00243C7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4ACD8914" w14:textId="3E289E74" w:rsidR="00243C74" w:rsidRPr="00451615" w:rsidRDefault="00243C74" w:rsidP="00243C74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 xml:space="preserve">The assertion that seed multinationals rely on CGIAR breeding programs for </w:t>
            </w:r>
            <w:r w:rsidR="00451615">
              <w:rPr>
                <w:rFonts w:ascii="Times New Roman" w:hAnsi="Times New Roman"/>
              </w:rPr>
              <w:t>cultivars</w:t>
            </w:r>
            <w:r w:rsidR="00451615" w:rsidRPr="00451615">
              <w:rPr>
                <w:rFonts w:ascii="Times New Roman" w:hAnsi="Times New Roman"/>
              </w:rPr>
              <w:t xml:space="preserve"> </w:t>
            </w:r>
            <w:r w:rsidRPr="00451615">
              <w:rPr>
                <w:rFonts w:ascii="Times New Roman" w:hAnsi="Times New Roman"/>
              </w:rPr>
              <w:t xml:space="preserve">is insufficient to make a case for investments </w:t>
            </w:r>
            <w:r w:rsidR="006731A7">
              <w:rPr>
                <w:rFonts w:ascii="Times New Roman" w:hAnsi="Times New Roman"/>
              </w:rPr>
              <w:t xml:space="preserve">– there </w:t>
            </w:r>
            <w:r w:rsidR="006731A7" w:rsidRPr="00451615">
              <w:rPr>
                <w:rFonts w:ascii="Times New Roman" w:hAnsi="Times New Roman"/>
              </w:rPr>
              <w:t xml:space="preserve">is a paucity of evidence on whether this pathway would lead to significant positive impacts on </w:t>
            </w:r>
            <w:r w:rsidR="00D77DB4">
              <w:rPr>
                <w:rFonts w:ascii="Times New Roman" w:hAnsi="Times New Roman"/>
              </w:rPr>
              <w:t xml:space="preserve">the </w:t>
            </w:r>
            <w:r w:rsidR="006731A7" w:rsidRPr="00451615">
              <w:rPr>
                <w:rFonts w:ascii="Times New Roman" w:hAnsi="Times New Roman"/>
              </w:rPr>
              <w:t>CGIAR SLOs</w:t>
            </w:r>
            <w:r w:rsidRPr="00451615">
              <w:rPr>
                <w:rFonts w:ascii="Times New Roman" w:hAnsi="Times New Roman"/>
              </w:rPr>
              <w:t xml:space="preserve">. It </w:t>
            </w:r>
            <w:r w:rsidR="006731A7">
              <w:rPr>
                <w:rFonts w:ascii="Times New Roman" w:hAnsi="Times New Roman"/>
              </w:rPr>
              <w:t xml:space="preserve">also </w:t>
            </w:r>
            <w:r w:rsidRPr="00451615">
              <w:rPr>
                <w:rFonts w:ascii="Times New Roman" w:hAnsi="Times New Roman"/>
              </w:rPr>
              <w:t xml:space="preserve">raises </w:t>
            </w:r>
            <w:r w:rsidR="006731A7">
              <w:rPr>
                <w:rFonts w:ascii="Times New Roman" w:hAnsi="Times New Roman"/>
              </w:rPr>
              <w:t>the</w:t>
            </w:r>
            <w:r w:rsidRPr="00451615">
              <w:rPr>
                <w:rFonts w:ascii="Times New Roman" w:hAnsi="Times New Roman"/>
              </w:rPr>
              <w:t xml:space="preserve"> question whether public funds </w:t>
            </w:r>
            <w:r w:rsidR="00471485">
              <w:rPr>
                <w:rFonts w:ascii="Times New Roman" w:hAnsi="Times New Roman"/>
              </w:rPr>
              <w:t xml:space="preserve">should </w:t>
            </w:r>
            <w:r w:rsidRPr="00451615">
              <w:rPr>
                <w:rFonts w:ascii="Times New Roman" w:hAnsi="Times New Roman"/>
              </w:rPr>
              <w:t>underwrite commercial R&amp;D efforts.</w:t>
            </w:r>
            <w:r w:rsidR="0024595A" w:rsidRPr="00451615">
              <w:rPr>
                <w:rFonts w:ascii="Times New Roman" w:hAnsi="Times New Roman"/>
              </w:rPr>
              <w:t xml:space="preserve">  </w:t>
            </w:r>
          </w:p>
          <w:p w14:paraId="4A10A094" w14:textId="77777777" w:rsidR="00633C2F" w:rsidRPr="00451615" w:rsidRDefault="00633C2F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7AED1F36" w14:textId="49BCB5E8" w:rsidR="006C4D68" w:rsidRPr="00451615" w:rsidRDefault="00051357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C167A2" w:rsidRPr="00451615">
              <w:rPr>
                <w:rFonts w:ascii="Times New Roman" w:hAnsi="Times New Roman"/>
              </w:rPr>
              <w:t xml:space="preserve">he comparative advantage </w:t>
            </w:r>
            <w:r w:rsidR="008046D2" w:rsidRPr="00451615">
              <w:rPr>
                <w:rFonts w:ascii="Times New Roman" w:hAnsi="Times New Roman"/>
              </w:rPr>
              <w:t xml:space="preserve">of this effort </w:t>
            </w:r>
            <w:r w:rsidR="008046D2" w:rsidRPr="00D77DB4">
              <w:rPr>
                <w:rFonts w:ascii="Times New Roman" w:hAnsi="Times New Roman"/>
                <w:i/>
              </w:rPr>
              <w:t>vis-à-vis</w:t>
            </w:r>
            <w:r w:rsidR="008046D2" w:rsidRPr="00451615">
              <w:rPr>
                <w:rFonts w:ascii="Times New Roman" w:hAnsi="Times New Roman"/>
              </w:rPr>
              <w:t xml:space="preserve"> the private sector</w:t>
            </w:r>
            <w:r>
              <w:rPr>
                <w:rFonts w:ascii="Times New Roman" w:hAnsi="Times New Roman"/>
              </w:rPr>
              <w:t xml:space="preserve"> and NARS partners</w:t>
            </w:r>
            <w:r w:rsidR="008046D2" w:rsidRPr="00451615">
              <w:rPr>
                <w:rFonts w:ascii="Times New Roman" w:hAnsi="Times New Roman"/>
              </w:rPr>
              <w:t xml:space="preserve"> remains unaddressed.</w:t>
            </w:r>
            <w:r>
              <w:rPr>
                <w:rFonts w:ascii="Times New Roman" w:hAnsi="Times New Roman"/>
              </w:rPr>
              <w:t xml:space="preserve"> F</w:t>
            </w:r>
            <w:r w:rsidR="001A5DA8" w:rsidRPr="00451615">
              <w:rPr>
                <w:rFonts w:ascii="Times New Roman" w:hAnsi="Times New Roman"/>
              </w:rPr>
              <w:t>rom the evidence on uptake presented, partners such as Embrapa have a stronger track record in forage research and delivery than the CGIAR.</w:t>
            </w:r>
          </w:p>
          <w:p w14:paraId="75D34576" w14:textId="77777777" w:rsidR="00243C74" w:rsidRPr="00451615" w:rsidRDefault="00243C74" w:rsidP="00633C2F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33C2F" w:rsidRPr="00AB326C" w14:paraId="41031090" w14:textId="77777777" w:rsidTr="00B60617">
        <w:tc>
          <w:tcPr>
            <w:tcW w:w="2250" w:type="dxa"/>
          </w:tcPr>
          <w:p w14:paraId="7B23C2BB" w14:textId="77777777" w:rsidR="00633C2F" w:rsidRPr="00451615" w:rsidRDefault="00991599" w:rsidP="00633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 w:rsidRPr="00451615">
              <w:rPr>
                <w:rFonts w:ascii="Times New Roman" w:hAnsi="Times New Roman"/>
                <w:b/>
              </w:rPr>
              <w:t xml:space="preserve">3. </w:t>
            </w:r>
            <w:r w:rsidR="00857705" w:rsidRPr="00451615">
              <w:rPr>
                <w:rFonts w:ascii="Times New Roman" w:hAnsi="Times New Roman"/>
                <w:b/>
              </w:rPr>
              <w:t>Lack of detail on research priorities, science outputs and timelines</w:t>
            </w:r>
          </w:p>
          <w:p w14:paraId="25F27B91" w14:textId="77777777" w:rsidR="00991599" w:rsidRPr="00451615" w:rsidRDefault="00991599" w:rsidP="00633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870" w:type="dxa"/>
          </w:tcPr>
          <w:p w14:paraId="627B386C" w14:textId="77777777" w:rsidR="00633C2F" w:rsidRPr="00451615" w:rsidRDefault="007A4575" w:rsidP="007A4575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>Sections on ‘rationale and scope’ and ‘science quality’ reworked to show how past experience has shaped priorities, and identifies existing constraints that can be overcome through this CRP/FP’s research. Similarly, changes to COA section showcases a more focussed research agenda, and explicitly defined priorities and</w:t>
            </w:r>
            <w:r w:rsidR="00EE2B34" w:rsidRPr="00451615">
              <w:rPr>
                <w:rFonts w:ascii="Times New Roman" w:hAnsi="Times New Roman"/>
              </w:rPr>
              <w:t xml:space="preserve"> outputs that will be achieved.</w:t>
            </w:r>
          </w:p>
          <w:p w14:paraId="2C3083C4" w14:textId="77777777" w:rsidR="00EE2B34" w:rsidRPr="00451615" w:rsidRDefault="00EE2B34" w:rsidP="007A4575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5C3BCBB2" w14:textId="77777777" w:rsidR="00EE2B34" w:rsidRPr="00451615" w:rsidRDefault="00EE2B34" w:rsidP="007A4575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 xml:space="preserve">FP focuses mainly on three sub-IDOs: more efficient use of inputs; closed yield gaps; and technologies that reduce women’s labour and energy expenditure </w:t>
            </w:r>
            <w:r w:rsidRPr="00451615">
              <w:rPr>
                <w:rFonts w:ascii="Times New Roman" w:hAnsi="Times New Roman"/>
              </w:rPr>
              <w:lastRenderedPageBreak/>
              <w:t xml:space="preserve">developed/disseminated. </w:t>
            </w:r>
            <w:r w:rsidR="00296965" w:rsidRPr="00451615">
              <w:rPr>
                <w:rFonts w:ascii="Times New Roman" w:hAnsi="Times New Roman"/>
              </w:rPr>
              <w:t>Acknowledge</w:t>
            </w:r>
            <w:r w:rsidRPr="00451615">
              <w:rPr>
                <w:rFonts w:ascii="Times New Roman" w:hAnsi="Times New Roman"/>
              </w:rPr>
              <w:t xml:space="preserve"> that the appropriate research focus is on closing livestock yield gap by delivering better feed material and other interventions that enhance animal productivity. Contribution to other sub-IDOs (capacity development, environmental issues) is through collaboration with FP4 (environment) and FP5 (LLAFS).</w:t>
            </w:r>
          </w:p>
          <w:p w14:paraId="7D024F2A" w14:textId="77777777" w:rsidR="00EE2B34" w:rsidRPr="00451615" w:rsidRDefault="00EE2B34" w:rsidP="007A4575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5812647E" w14:textId="77777777" w:rsidR="00EE2B34" w:rsidRDefault="00EE2B34" w:rsidP="00EE2B34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>Connections and common work with other CRPs, CGIAR Centers and external partners highlighted, including food-feed crops initiative with AFS-CRPs and commodity Centers, and the Biological Nitrification Inhibition (BNI) consortium.</w:t>
            </w:r>
          </w:p>
          <w:p w14:paraId="5CA406DA" w14:textId="77777777" w:rsidR="00421AC5" w:rsidRPr="00451615" w:rsidRDefault="00421AC5" w:rsidP="00EE2B3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14:paraId="1BA7B822" w14:textId="110E2A84" w:rsidR="00EF1E22" w:rsidRPr="00451615" w:rsidRDefault="00BD7B19" w:rsidP="00AA717B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lastRenderedPageBreak/>
              <w:t xml:space="preserve">The clarification </w:t>
            </w:r>
            <w:r w:rsidR="001264E1">
              <w:rPr>
                <w:rFonts w:ascii="Times New Roman" w:hAnsi="Times New Roman"/>
              </w:rPr>
              <w:t>and</w:t>
            </w:r>
            <w:r w:rsidR="00682FDC">
              <w:rPr>
                <w:rFonts w:ascii="Times New Roman" w:hAnsi="Times New Roman"/>
              </w:rPr>
              <w:t xml:space="preserve"> implied</w:t>
            </w:r>
            <w:r w:rsidR="00321B85" w:rsidRPr="00451615">
              <w:rPr>
                <w:rFonts w:ascii="Times New Roman" w:hAnsi="Times New Roman"/>
              </w:rPr>
              <w:t xml:space="preserve"> shift towards food-feed crop</w:t>
            </w:r>
            <w:r w:rsidR="00D77DB4">
              <w:rPr>
                <w:rFonts w:ascii="Times New Roman" w:hAnsi="Times New Roman"/>
              </w:rPr>
              <w:t>s</w:t>
            </w:r>
            <w:r w:rsidR="00321B85" w:rsidRPr="00451615">
              <w:rPr>
                <w:rFonts w:ascii="Times New Roman" w:hAnsi="Times New Roman"/>
              </w:rPr>
              <w:t xml:space="preserve"> </w:t>
            </w:r>
            <w:r w:rsidR="001264E1">
              <w:rPr>
                <w:rFonts w:ascii="Times New Roman" w:hAnsi="Times New Roman"/>
              </w:rPr>
              <w:t>is appreciated</w:t>
            </w:r>
            <w:r w:rsidR="00321B85" w:rsidRPr="00451615">
              <w:rPr>
                <w:rFonts w:ascii="Times New Roman" w:hAnsi="Times New Roman"/>
              </w:rPr>
              <w:t xml:space="preserve">. </w:t>
            </w:r>
            <w:r w:rsidR="00155FC1" w:rsidRPr="00451615">
              <w:rPr>
                <w:rFonts w:ascii="Times New Roman" w:hAnsi="Times New Roman"/>
              </w:rPr>
              <w:t xml:space="preserve">The narrative includes some description of </w:t>
            </w:r>
            <w:r w:rsidR="00134344">
              <w:rPr>
                <w:rFonts w:ascii="Times New Roman" w:hAnsi="Times New Roman"/>
              </w:rPr>
              <w:t xml:space="preserve">past </w:t>
            </w:r>
            <w:r w:rsidR="00155FC1" w:rsidRPr="00451615">
              <w:rPr>
                <w:rFonts w:ascii="Times New Roman" w:hAnsi="Times New Roman"/>
              </w:rPr>
              <w:t xml:space="preserve">Livestock and Fish CRP work </w:t>
            </w:r>
            <w:r w:rsidR="00D77DB4">
              <w:rPr>
                <w:rFonts w:ascii="Times New Roman" w:hAnsi="Times New Roman"/>
              </w:rPr>
              <w:t>to generate demand scenarios, and</w:t>
            </w:r>
            <w:r w:rsidR="00155FC1" w:rsidRPr="00451615">
              <w:rPr>
                <w:rFonts w:ascii="Times New Roman" w:hAnsi="Times New Roman"/>
              </w:rPr>
              <w:t xml:space="preserve"> domains for selected crops (e.g. maize, sorghum, and cowpea) and geographies to inform decisions on new full-purpose crop cultivars. But, information on lessons from these analyses and </w:t>
            </w:r>
            <w:r w:rsidR="00682FDC">
              <w:rPr>
                <w:rFonts w:ascii="Times New Roman" w:hAnsi="Times New Roman"/>
              </w:rPr>
              <w:t xml:space="preserve">the extent of </w:t>
            </w:r>
            <w:r w:rsidR="00A041F1" w:rsidRPr="00451615">
              <w:rPr>
                <w:rFonts w:ascii="Times New Roman" w:hAnsi="Times New Roman"/>
              </w:rPr>
              <w:t xml:space="preserve">influence on </w:t>
            </w:r>
            <w:r w:rsidR="00155FC1" w:rsidRPr="00451615">
              <w:rPr>
                <w:rFonts w:ascii="Times New Roman" w:hAnsi="Times New Roman"/>
              </w:rPr>
              <w:t xml:space="preserve">research plans </w:t>
            </w:r>
            <w:r w:rsidR="00134344">
              <w:rPr>
                <w:rFonts w:ascii="Times New Roman" w:hAnsi="Times New Roman"/>
              </w:rPr>
              <w:t>remains</w:t>
            </w:r>
            <w:r w:rsidR="00134344" w:rsidRPr="00451615">
              <w:rPr>
                <w:rFonts w:ascii="Times New Roman" w:hAnsi="Times New Roman"/>
              </w:rPr>
              <w:t xml:space="preserve"> </w:t>
            </w:r>
            <w:r w:rsidR="00682FDC">
              <w:rPr>
                <w:rFonts w:ascii="Times New Roman" w:hAnsi="Times New Roman"/>
              </w:rPr>
              <w:t>unclear</w:t>
            </w:r>
            <w:r w:rsidR="00155FC1" w:rsidRPr="00451615">
              <w:rPr>
                <w:rFonts w:ascii="Times New Roman" w:hAnsi="Times New Roman"/>
              </w:rPr>
              <w:t>.</w:t>
            </w:r>
          </w:p>
          <w:p w14:paraId="0C4FA927" w14:textId="77777777" w:rsidR="00EF1E22" w:rsidRPr="00451615" w:rsidRDefault="00EF1E22" w:rsidP="00AA717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6718E481" w14:textId="01168571" w:rsidR="00633C2F" w:rsidRPr="00451615" w:rsidRDefault="00D36479" w:rsidP="00D77DB4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451615">
              <w:rPr>
                <w:rFonts w:ascii="Times New Roman" w:hAnsi="Times New Roman"/>
              </w:rPr>
              <w:t xml:space="preserve">The balance of efforts between ‘fodder’ and ‘feed’ (a much broader concept) is </w:t>
            </w:r>
            <w:r w:rsidRPr="00451615">
              <w:rPr>
                <w:rFonts w:ascii="Times New Roman" w:hAnsi="Times New Roman"/>
              </w:rPr>
              <w:lastRenderedPageBreak/>
              <w:t xml:space="preserve">not evident. </w:t>
            </w:r>
            <w:r w:rsidR="00BF2482" w:rsidRPr="00451615">
              <w:rPr>
                <w:rFonts w:ascii="Times New Roman" w:hAnsi="Times New Roman"/>
              </w:rPr>
              <w:t xml:space="preserve">Superior forages appear to be the focus, and there may be opportunities in the </w:t>
            </w:r>
            <w:r w:rsidR="00EF1E22" w:rsidRPr="00451615">
              <w:rPr>
                <w:rFonts w:ascii="Times New Roman" w:hAnsi="Times New Roman"/>
              </w:rPr>
              <w:t xml:space="preserve">broader </w:t>
            </w:r>
            <w:r w:rsidR="00BF2482" w:rsidRPr="00451615">
              <w:rPr>
                <w:rFonts w:ascii="Times New Roman" w:hAnsi="Times New Roman"/>
              </w:rPr>
              <w:t>feed sector that are being missed. For instance,</w:t>
            </w:r>
            <w:r w:rsidR="00AA717B" w:rsidRPr="00451615">
              <w:rPr>
                <w:rFonts w:ascii="Times New Roman" w:hAnsi="Times New Roman"/>
              </w:rPr>
              <w:t xml:space="preserve"> improving</w:t>
            </w:r>
            <w:r w:rsidR="00BF2482" w:rsidRPr="00451615">
              <w:rPr>
                <w:rFonts w:ascii="Times New Roman" w:hAnsi="Times New Roman"/>
              </w:rPr>
              <w:t xml:space="preserve"> cost-effective</w:t>
            </w:r>
            <w:r w:rsidR="00AA717B" w:rsidRPr="00451615">
              <w:rPr>
                <w:rFonts w:ascii="Times New Roman" w:hAnsi="Times New Roman"/>
              </w:rPr>
              <w:t>ness of</w:t>
            </w:r>
            <w:r w:rsidR="00BF2482" w:rsidRPr="00451615">
              <w:rPr>
                <w:rFonts w:ascii="Times New Roman" w:hAnsi="Times New Roman"/>
              </w:rPr>
              <w:t xml:space="preserve"> feed innovation</w:t>
            </w:r>
            <w:r w:rsidR="00EF1E22" w:rsidRPr="00451615">
              <w:rPr>
                <w:rFonts w:ascii="Times New Roman" w:hAnsi="Times New Roman"/>
              </w:rPr>
              <w:t xml:space="preserve">, which </w:t>
            </w:r>
            <w:r w:rsidR="00BF2482" w:rsidRPr="00451615">
              <w:rPr>
                <w:rFonts w:ascii="Times New Roman" w:hAnsi="Times New Roman"/>
              </w:rPr>
              <w:t>may not necessarily be delivered through research</w:t>
            </w:r>
            <w:r w:rsidR="00B15EB2" w:rsidRPr="00451615">
              <w:rPr>
                <w:rFonts w:ascii="Times New Roman" w:hAnsi="Times New Roman"/>
              </w:rPr>
              <w:t>.</w:t>
            </w:r>
            <w:r w:rsidR="002161EA" w:rsidRPr="00451615">
              <w:rPr>
                <w:rFonts w:ascii="Times New Roman" w:hAnsi="Times New Roman"/>
              </w:rPr>
              <w:t xml:space="preserve"> This is applicable to South Asia, Southea</w:t>
            </w:r>
            <w:r w:rsidR="00FC64AA" w:rsidRPr="00451615">
              <w:rPr>
                <w:rFonts w:ascii="Times New Roman" w:hAnsi="Times New Roman"/>
              </w:rPr>
              <w:t>s</w:t>
            </w:r>
            <w:r w:rsidR="002161EA" w:rsidRPr="00451615">
              <w:rPr>
                <w:rFonts w:ascii="Times New Roman" w:hAnsi="Times New Roman"/>
              </w:rPr>
              <w:t xml:space="preserve">t Asia and parts of </w:t>
            </w:r>
            <w:r w:rsidR="00451615">
              <w:rPr>
                <w:rFonts w:ascii="Times New Roman" w:hAnsi="Times New Roman"/>
              </w:rPr>
              <w:t xml:space="preserve">sub-Saharan </w:t>
            </w:r>
            <w:r w:rsidR="002161EA" w:rsidRPr="00451615">
              <w:rPr>
                <w:rFonts w:ascii="Times New Roman" w:hAnsi="Times New Roman"/>
              </w:rPr>
              <w:t>Africa where opportunities for improved fodder, as acknowledged, are limited.</w:t>
            </w:r>
          </w:p>
        </w:tc>
      </w:tr>
    </w:tbl>
    <w:p w14:paraId="2D9F4D23" w14:textId="77777777" w:rsidR="00E4693D" w:rsidRPr="00451615" w:rsidRDefault="00E4693D" w:rsidP="00633C2F">
      <w:pPr>
        <w:pStyle w:val="ListParagraph"/>
        <w:rPr>
          <w:rFonts w:ascii="Times New Roman" w:hAnsi="Times New Roman"/>
        </w:rPr>
      </w:pPr>
    </w:p>
    <w:p w14:paraId="535F15F9" w14:textId="02E90C21" w:rsidR="00991599" w:rsidRPr="00787164" w:rsidRDefault="003770D7" w:rsidP="00CD7806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/>
          <w:b/>
        </w:rPr>
      </w:pPr>
      <w:r w:rsidRPr="00787164">
        <w:rPr>
          <w:rFonts w:ascii="Times New Roman" w:hAnsi="Times New Roman"/>
          <w:b/>
        </w:rPr>
        <w:t>Characterization of the Flagship</w:t>
      </w:r>
    </w:p>
    <w:p w14:paraId="01DADEA2" w14:textId="418310C0" w:rsidR="0022425E" w:rsidRPr="009336E3" w:rsidRDefault="0022425E" w:rsidP="0022425E">
      <w:pPr>
        <w:pStyle w:val="ListParagraph"/>
        <w:ind w:left="284"/>
        <w:rPr>
          <w:rFonts w:ascii="Times New Roman" w:hAnsi="Times New Roman"/>
        </w:rPr>
      </w:pPr>
    </w:p>
    <w:tbl>
      <w:tblPr>
        <w:tblStyle w:val="TableGrid"/>
        <w:tblW w:w="9990" w:type="dxa"/>
        <w:tblInd w:w="-5" w:type="dxa"/>
        <w:tblLook w:val="04A0" w:firstRow="1" w:lastRow="0" w:firstColumn="1" w:lastColumn="0" w:noHBand="0" w:noVBand="1"/>
      </w:tblPr>
      <w:tblGrid>
        <w:gridCol w:w="4995"/>
        <w:gridCol w:w="4995"/>
      </w:tblGrid>
      <w:tr w:rsidR="00F32749" w:rsidRPr="00451615" w14:paraId="715E64A8" w14:textId="77777777" w:rsidTr="00F32749">
        <w:tc>
          <w:tcPr>
            <w:tcW w:w="4995" w:type="dxa"/>
          </w:tcPr>
          <w:p w14:paraId="449B92EA" w14:textId="77777777" w:rsidR="00F32749" w:rsidRPr="001956EA" w:rsidRDefault="00F32749" w:rsidP="00A06B7A">
            <w:pPr>
              <w:rPr>
                <w:rFonts w:ascii="Times New Roman" w:hAnsi="Times New Roman"/>
                <w:b/>
                <w:lang w:val="en-GB"/>
              </w:rPr>
            </w:pPr>
            <w:r w:rsidRPr="001956EA">
              <w:rPr>
                <w:rFonts w:ascii="Times New Roman" w:hAnsi="Times New Roman"/>
                <w:b/>
                <w:lang w:val="en-GB"/>
              </w:rPr>
              <w:t>Main strengths</w:t>
            </w:r>
          </w:p>
        </w:tc>
        <w:tc>
          <w:tcPr>
            <w:tcW w:w="4995" w:type="dxa"/>
          </w:tcPr>
          <w:p w14:paraId="1F5FFF57" w14:textId="77777777" w:rsidR="00F32749" w:rsidRPr="001956EA" w:rsidRDefault="00F32749" w:rsidP="00A06B7A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1956EA">
              <w:rPr>
                <w:rFonts w:ascii="Times New Roman" w:hAnsi="Times New Roman" w:cs="Times New Roman"/>
                <w:b/>
                <w:lang w:val="en-GB"/>
              </w:rPr>
              <w:t>Weaknesses</w:t>
            </w:r>
          </w:p>
          <w:p w14:paraId="40D37F67" w14:textId="77777777" w:rsidR="00F32749" w:rsidRPr="001956EA" w:rsidRDefault="00F32749" w:rsidP="00A06B7A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</w:tr>
      <w:tr w:rsidR="00F32749" w:rsidRPr="00AB326C" w14:paraId="469725C3" w14:textId="77777777" w:rsidTr="00F32749">
        <w:tc>
          <w:tcPr>
            <w:tcW w:w="4995" w:type="dxa"/>
          </w:tcPr>
          <w:p w14:paraId="75E05314" w14:textId="77777777" w:rsidR="00F32749" w:rsidRPr="00AB326C" w:rsidRDefault="00F32749" w:rsidP="00956DC5">
            <w:pPr>
              <w:rPr>
                <w:rFonts w:ascii="Times New Roman" w:hAnsi="Times New Roman"/>
                <w:lang w:val="en-US"/>
              </w:rPr>
            </w:pPr>
            <w:r w:rsidRPr="00956DC5">
              <w:rPr>
                <w:rFonts w:ascii="Times New Roman" w:hAnsi="Times New Roman"/>
                <w:lang w:val="en-US"/>
              </w:rPr>
              <w:t xml:space="preserve">Potentially high strategic relevance as animal nutrition is a constraint to productivity increases, especially within the targeted smallholder systems. </w:t>
            </w:r>
            <w:r w:rsidRPr="00AB326C">
              <w:rPr>
                <w:rFonts w:ascii="Times New Roman" w:hAnsi="Times New Roman"/>
                <w:lang w:val="en-US"/>
              </w:rPr>
              <w:t>Key sub-sector in livestock-related GHG emissions, potential for sequestration / mitigation outcomes</w:t>
            </w:r>
          </w:p>
        </w:tc>
        <w:tc>
          <w:tcPr>
            <w:tcW w:w="4995" w:type="dxa"/>
          </w:tcPr>
          <w:p w14:paraId="39E00ECB" w14:textId="7E212D20" w:rsidR="00F32749" w:rsidRPr="00956DC5" w:rsidRDefault="006D482A" w:rsidP="00956DC5">
            <w:pPr>
              <w:rPr>
                <w:rFonts w:ascii="Times New Roman" w:hAnsi="Times New Roman"/>
                <w:lang w:val="en-US"/>
              </w:rPr>
            </w:pPr>
            <w:r w:rsidRPr="00956DC5">
              <w:rPr>
                <w:rFonts w:ascii="Times New Roman" w:hAnsi="Times New Roman"/>
                <w:lang w:val="en-US"/>
              </w:rPr>
              <w:t xml:space="preserve">Absence of track record as well as </w:t>
            </w:r>
            <w:r w:rsidRPr="00956DC5">
              <w:rPr>
                <w:rFonts w:ascii="Times New Roman" w:hAnsi="Times New Roman"/>
                <w:i/>
                <w:lang w:val="en-US"/>
              </w:rPr>
              <w:t>ex ante evidence</w:t>
            </w:r>
            <w:r w:rsidRPr="00956DC5">
              <w:rPr>
                <w:rFonts w:ascii="Times New Roman" w:hAnsi="Times New Roman"/>
                <w:lang w:val="en-US"/>
              </w:rPr>
              <w:t xml:space="preserve"> – </w:t>
            </w:r>
            <w:r w:rsidR="00CC6FA6" w:rsidRPr="00956DC5">
              <w:rPr>
                <w:rFonts w:ascii="Times New Roman" w:hAnsi="Times New Roman"/>
                <w:lang w:val="en-US"/>
              </w:rPr>
              <w:t>to support the</w:t>
            </w:r>
            <w:r w:rsidRPr="00956DC5">
              <w:rPr>
                <w:rFonts w:ascii="Times New Roman" w:hAnsi="Times New Roman"/>
                <w:lang w:val="en-US"/>
              </w:rPr>
              <w:t xml:space="preserve"> assumptions underlying the impact pathway</w:t>
            </w:r>
            <w:r w:rsidR="00CC6FA6" w:rsidRPr="00956DC5">
              <w:rPr>
                <w:rFonts w:ascii="Times New Roman" w:hAnsi="Times New Roman"/>
                <w:lang w:val="en-US"/>
              </w:rPr>
              <w:t>s</w:t>
            </w:r>
          </w:p>
        </w:tc>
      </w:tr>
      <w:tr w:rsidR="00F32749" w:rsidRPr="00AB326C" w14:paraId="0CEDA9B5" w14:textId="77777777" w:rsidTr="00F32749">
        <w:tc>
          <w:tcPr>
            <w:tcW w:w="4995" w:type="dxa"/>
          </w:tcPr>
          <w:p w14:paraId="2F907645" w14:textId="77777777" w:rsidR="00F32749" w:rsidRPr="00956DC5" w:rsidRDefault="00F32749" w:rsidP="00956DC5">
            <w:pPr>
              <w:rPr>
                <w:rFonts w:ascii="Times New Roman" w:hAnsi="Times New Roman"/>
                <w:lang w:val="en-US"/>
              </w:rPr>
            </w:pPr>
            <w:r w:rsidRPr="00956DC5">
              <w:rPr>
                <w:rFonts w:ascii="Times New Roman" w:hAnsi="Times New Roman"/>
                <w:lang w:val="en-US"/>
              </w:rPr>
              <w:t>Collaboration across the CGIAR on feeds and forages</w:t>
            </w:r>
          </w:p>
        </w:tc>
        <w:tc>
          <w:tcPr>
            <w:tcW w:w="4995" w:type="dxa"/>
          </w:tcPr>
          <w:p w14:paraId="5415F308" w14:textId="793EB48E" w:rsidR="00F32749" w:rsidRPr="00956DC5" w:rsidRDefault="00F32749" w:rsidP="00956DC5">
            <w:pPr>
              <w:rPr>
                <w:rFonts w:ascii="Times New Roman" w:hAnsi="Times New Roman"/>
                <w:lang w:val="en-US"/>
              </w:rPr>
            </w:pPr>
            <w:r w:rsidRPr="00956DC5">
              <w:rPr>
                <w:rFonts w:ascii="Times New Roman" w:hAnsi="Times New Roman"/>
                <w:lang w:val="en-US"/>
              </w:rPr>
              <w:t xml:space="preserve">Comparative advantage </w:t>
            </w:r>
            <w:r w:rsidRPr="00956DC5">
              <w:rPr>
                <w:rFonts w:ascii="Times New Roman" w:hAnsi="Times New Roman"/>
                <w:i/>
                <w:lang w:val="en-US"/>
              </w:rPr>
              <w:t>vis-à-vis</w:t>
            </w:r>
            <w:r w:rsidRPr="00956DC5">
              <w:rPr>
                <w:rFonts w:ascii="Times New Roman" w:hAnsi="Times New Roman"/>
                <w:lang w:val="en-US"/>
              </w:rPr>
              <w:t xml:space="preserve"> other comparable research and the development of the private sector feed industry is </w:t>
            </w:r>
            <w:r w:rsidR="006D482A" w:rsidRPr="00956DC5">
              <w:rPr>
                <w:rFonts w:ascii="Times New Roman" w:hAnsi="Times New Roman"/>
                <w:lang w:val="en-US"/>
              </w:rPr>
              <w:t>not convincingly argued</w:t>
            </w:r>
          </w:p>
        </w:tc>
      </w:tr>
      <w:tr w:rsidR="00F32749" w:rsidRPr="00AB326C" w14:paraId="1277C372" w14:textId="77777777" w:rsidTr="00F32749">
        <w:tc>
          <w:tcPr>
            <w:tcW w:w="4995" w:type="dxa"/>
          </w:tcPr>
          <w:p w14:paraId="14943AB5" w14:textId="77777777" w:rsidR="00F32749" w:rsidRPr="00451615" w:rsidRDefault="00F32749" w:rsidP="005440C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95" w:type="dxa"/>
          </w:tcPr>
          <w:p w14:paraId="159CDCD7" w14:textId="75A1A425" w:rsidR="00F32749" w:rsidRPr="00AB326C" w:rsidRDefault="00F32749" w:rsidP="00956DC5">
            <w:pPr>
              <w:rPr>
                <w:rFonts w:ascii="Times New Roman" w:hAnsi="Times New Roman"/>
                <w:lang w:val="en-US"/>
              </w:rPr>
            </w:pPr>
            <w:r w:rsidRPr="00AB326C">
              <w:rPr>
                <w:rFonts w:ascii="Times New Roman" w:hAnsi="Times New Roman"/>
                <w:lang w:val="en-US"/>
              </w:rPr>
              <w:t>Lack of detail on research priorities</w:t>
            </w:r>
            <w:r w:rsidR="006D482A" w:rsidRPr="00AB326C">
              <w:rPr>
                <w:rFonts w:ascii="Times New Roman" w:hAnsi="Times New Roman"/>
                <w:lang w:val="en-US"/>
              </w:rPr>
              <w:t xml:space="preserve"> and </w:t>
            </w:r>
            <w:r w:rsidRPr="00AB326C">
              <w:rPr>
                <w:rFonts w:ascii="Times New Roman" w:hAnsi="Times New Roman"/>
                <w:lang w:val="en-US"/>
              </w:rPr>
              <w:t>science outputs</w:t>
            </w:r>
          </w:p>
        </w:tc>
      </w:tr>
    </w:tbl>
    <w:p w14:paraId="443088DC" w14:textId="77777777" w:rsidR="00F869D0" w:rsidRPr="00451615" w:rsidRDefault="00F869D0">
      <w:pPr>
        <w:rPr>
          <w:rFonts w:ascii="Times New Roman" w:hAnsi="Times New Roman" w:cs="Times New Roman"/>
          <w:lang w:val="en-GB"/>
        </w:rPr>
      </w:pPr>
    </w:p>
    <w:sectPr w:rsidR="00F869D0" w:rsidRPr="00451615" w:rsidSect="00CD78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A917C" w14:textId="77777777" w:rsidR="006F4CD5" w:rsidRDefault="006F4CD5" w:rsidP="005440C9">
      <w:pPr>
        <w:spacing w:after="0" w:line="240" w:lineRule="auto"/>
      </w:pPr>
      <w:r>
        <w:separator/>
      </w:r>
    </w:p>
  </w:endnote>
  <w:endnote w:type="continuationSeparator" w:id="0">
    <w:p w14:paraId="7DC17253" w14:textId="77777777" w:rsidR="006F4CD5" w:rsidRDefault="006F4CD5" w:rsidP="0054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EAF2B" w14:textId="77777777" w:rsidR="00802985" w:rsidRDefault="008029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7411817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BC813B4" w14:textId="322E9B70" w:rsidR="00EE5266" w:rsidRPr="00EE5266" w:rsidRDefault="00EE5266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sz w:val="20"/>
            <w:szCs w:val="20"/>
          </w:rPr>
        </w:pPr>
        <w:r w:rsidRPr="00EE526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E526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E526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B326C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E5266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Pr="00EE5266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EE5266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  <w:szCs w:val="20"/>
          </w:rPr>
          <w:t>Page</w:t>
        </w:r>
      </w:p>
    </w:sdtContent>
  </w:sdt>
  <w:p w14:paraId="11F32F05" w14:textId="77777777" w:rsidR="00EE5266" w:rsidRPr="00EE5266" w:rsidRDefault="00EE5266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50B34" w14:textId="77777777" w:rsidR="00802985" w:rsidRDefault="008029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8E979" w14:textId="77777777" w:rsidR="006F4CD5" w:rsidRDefault="006F4CD5" w:rsidP="005440C9">
      <w:pPr>
        <w:spacing w:after="0" w:line="240" w:lineRule="auto"/>
      </w:pPr>
      <w:r>
        <w:separator/>
      </w:r>
    </w:p>
  </w:footnote>
  <w:footnote w:type="continuationSeparator" w:id="0">
    <w:p w14:paraId="6878B9C0" w14:textId="77777777" w:rsidR="006F4CD5" w:rsidRDefault="006F4CD5" w:rsidP="00544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A5D84" w14:textId="77777777" w:rsidR="00802985" w:rsidRDefault="008029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BE4AA" w14:textId="77777777" w:rsidR="00802985" w:rsidRDefault="008029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4A1E2" w14:textId="77777777" w:rsidR="00802985" w:rsidRDefault="008029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90DF5"/>
    <w:multiLevelType w:val="hybridMultilevel"/>
    <w:tmpl w:val="7222E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41987"/>
    <w:multiLevelType w:val="hybridMultilevel"/>
    <w:tmpl w:val="A88200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0F82E68"/>
    <w:multiLevelType w:val="hybridMultilevel"/>
    <w:tmpl w:val="FCCA55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2F"/>
    <w:rsid w:val="00000BBE"/>
    <w:rsid w:val="00033A19"/>
    <w:rsid w:val="00036AED"/>
    <w:rsid w:val="00041096"/>
    <w:rsid w:val="000418F9"/>
    <w:rsid w:val="000433CE"/>
    <w:rsid w:val="00047E9D"/>
    <w:rsid w:val="00051357"/>
    <w:rsid w:val="00052C32"/>
    <w:rsid w:val="0005480B"/>
    <w:rsid w:val="00057B91"/>
    <w:rsid w:val="000858B9"/>
    <w:rsid w:val="000A3078"/>
    <w:rsid w:val="000A7AD5"/>
    <w:rsid w:val="000B18D7"/>
    <w:rsid w:val="000B4994"/>
    <w:rsid w:val="000B67D2"/>
    <w:rsid w:val="000B6EC4"/>
    <w:rsid w:val="000C7B88"/>
    <w:rsid w:val="000D10B3"/>
    <w:rsid w:val="000D28F4"/>
    <w:rsid w:val="000D364B"/>
    <w:rsid w:val="000D4274"/>
    <w:rsid w:val="000E1DA2"/>
    <w:rsid w:val="000E2A76"/>
    <w:rsid w:val="000E3B3B"/>
    <w:rsid w:val="000F06FE"/>
    <w:rsid w:val="00101FCB"/>
    <w:rsid w:val="00107BCF"/>
    <w:rsid w:val="00124A96"/>
    <w:rsid w:val="00125F5C"/>
    <w:rsid w:val="001264E1"/>
    <w:rsid w:val="00134344"/>
    <w:rsid w:val="001466BF"/>
    <w:rsid w:val="00155FC1"/>
    <w:rsid w:val="00167D29"/>
    <w:rsid w:val="0018202E"/>
    <w:rsid w:val="00182098"/>
    <w:rsid w:val="001872C4"/>
    <w:rsid w:val="001956EA"/>
    <w:rsid w:val="001A0DD0"/>
    <w:rsid w:val="001A388E"/>
    <w:rsid w:val="001A5DA8"/>
    <w:rsid w:val="001B2509"/>
    <w:rsid w:val="001C429B"/>
    <w:rsid w:val="001D3610"/>
    <w:rsid w:val="001D5977"/>
    <w:rsid w:val="001E0DB0"/>
    <w:rsid w:val="001E73FF"/>
    <w:rsid w:val="0020540F"/>
    <w:rsid w:val="0021055D"/>
    <w:rsid w:val="002161EA"/>
    <w:rsid w:val="0021697E"/>
    <w:rsid w:val="00220B27"/>
    <w:rsid w:val="0022425E"/>
    <w:rsid w:val="0022538E"/>
    <w:rsid w:val="002270FF"/>
    <w:rsid w:val="00230964"/>
    <w:rsid w:val="00234298"/>
    <w:rsid w:val="00243C74"/>
    <w:rsid w:val="0024595A"/>
    <w:rsid w:val="00275DED"/>
    <w:rsid w:val="002775D3"/>
    <w:rsid w:val="0028567F"/>
    <w:rsid w:val="0029411C"/>
    <w:rsid w:val="00296965"/>
    <w:rsid w:val="002B0BD3"/>
    <w:rsid w:val="002B501E"/>
    <w:rsid w:val="002C3034"/>
    <w:rsid w:val="002C35FA"/>
    <w:rsid w:val="002C6AE3"/>
    <w:rsid w:val="002D734F"/>
    <w:rsid w:val="00300CF9"/>
    <w:rsid w:val="003068C6"/>
    <w:rsid w:val="00321B85"/>
    <w:rsid w:val="00347732"/>
    <w:rsid w:val="00357BA7"/>
    <w:rsid w:val="00375899"/>
    <w:rsid w:val="003770D7"/>
    <w:rsid w:val="00377A6B"/>
    <w:rsid w:val="00380708"/>
    <w:rsid w:val="00380BBE"/>
    <w:rsid w:val="00381AD7"/>
    <w:rsid w:val="003850BC"/>
    <w:rsid w:val="003C1298"/>
    <w:rsid w:val="003C219E"/>
    <w:rsid w:val="003C3C06"/>
    <w:rsid w:val="003C7C15"/>
    <w:rsid w:val="003E62A7"/>
    <w:rsid w:val="003F1696"/>
    <w:rsid w:val="003F393D"/>
    <w:rsid w:val="003F6773"/>
    <w:rsid w:val="00400D21"/>
    <w:rsid w:val="00407682"/>
    <w:rsid w:val="00421AC5"/>
    <w:rsid w:val="00421DE0"/>
    <w:rsid w:val="0042448A"/>
    <w:rsid w:val="00425780"/>
    <w:rsid w:val="004320BD"/>
    <w:rsid w:val="00451615"/>
    <w:rsid w:val="004533D5"/>
    <w:rsid w:val="00457588"/>
    <w:rsid w:val="0047108B"/>
    <w:rsid w:val="004710B1"/>
    <w:rsid w:val="00471485"/>
    <w:rsid w:val="00492466"/>
    <w:rsid w:val="004A0AB4"/>
    <w:rsid w:val="004B5A68"/>
    <w:rsid w:val="004B7731"/>
    <w:rsid w:val="004F04A9"/>
    <w:rsid w:val="004F5D1E"/>
    <w:rsid w:val="0050259F"/>
    <w:rsid w:val="005058CE"/>
    <w:rsid w:val="00513F41"/>
    <w:rsid w:val="00521B40"/>
    <w:rsid w:val="00525F1B"/>
    <w:rsid w:val="005311BF"/>
    <w:rsid w:val="005440C9"/>
    <w:rsid w:val="00550615"/>
    <w:rsid w:val="005600B2"/>
    <w:rsid w:val="00561462"/>
    <w:rsid w:val="00567154"/>
    <w:rsid w:val="00573777"/>
    <w:rsid w:val="00576557"/>
    <w:rsid w:val="00576F87"/>
    <w:rsid w:val="005928E9"/>
    <w:rsid w:val="00597BFC"/>
    <w:rsid w:val="005C2191"/>
    <w:rsid w:val="005C29A4"/>
    <w:rsid w:val="005C4424"/>
    <w:rsid w:val="005C4F37"/>
    <w:rsid w:val="005C4F52"/>
    <w:rsid w:val="005D29E3"/>
    <w:rsid w:val="005E17AB"/>
    <w:rsid w:val="005F69D5"/>
    <w:rsid w:val="005F7A31"/>
    <w:rsid w:val="00603ED3"/>
    <w:rsid w:val="00610FAE"/>
    <w:rsid w:val="006133B2"/>
    <w:rsid w:val="0061796F"/>
    <w:rsid w:val="006211D0"/>
    <w:rsid w:val="006325B0"/>
    <w:rsid w:val="00633C2F"/>
    <w:rsid w:val="00635F46"/>
    <w:rsid w:val="00647F22"/>
    <w:rsid w:val="00650D27"/>
    <w:rsid w:val="00655548"/>
    <w:rsid w:val="006731A7"/>
    <w:rsid w:val="00682FDC"/>
    <w:rsid w:val="006864AC"/>
    <w:rsid w:val="006A54F0"/>
    <w:rsid w:val="006A63E1"/>
    <w:rsid w:val="006B0759"/>
    <w:rsid w:val="006C4D68"/>
    <w:rsid w:val="006D482A"/>
    <w:rsid w:val="006F2E01"/>
    <w:rsid w:val="006F4CD5"/>
    <w:rsid w:val="00717623"/>
    <w:rsid w:val="00717EBB"/>
    <w:rsid w:val="00720A79"/>
    <w:rsid w:val="00722EBB"/>
    <w:rsid w:val="00723706"/>
    <w:rsid w:val="00727FF8"/>
    <w:rsid w:val="0073532B"/>
    <w:rsid w:val="00747539"/>
    <w:rsid w:val="007541AD"/>
    <w:rsid w:val="00760ABE"/>
    <w:rsid w:val="00765A1A"/>
    <w:rsid w:val="00774329"/>
    <w:rsid w:val="00780CE0"/>
    <w:rsid w:val="00783DC1"/>
    <w:rsid w:val="00786A4D"/>
    <w:rsid w:val="00787164"/>
    <w:rsid w:val="007A27E0"/>
    <w:rsid w:val="007A4575"/>
    <w:rsid w:val="007B2868"/>
    <w:rsid w:val="007B40CD"/>
    <w:rsid w:val="007C271B"/>
    <w:rsid w:val="007E3CE6"/>
    <w:rsid w:val="00802985"/>
    <w:rsid w:val="008042DD"/>
    <w:rsid w:val="008046D2"/>
    <w:rsid w:val="0081594E"/>
    <w:rsid w:val="00832122"/>
    <w:rsid w:val="008369FA"/>
    <w:rsid w:val="00836A3C"/>
    <w:rsid w:val="008409E3"/>
    <w:rsid w:val="00857705"/>
    <w:rsid w:val="00860CC9"/>
    <w:rsid w:val="0086743E"/>
    <w:rsid w:val="00877F5F"/>
    <w:rsid w:val="00887881"/>
    <w:rsid w:val="00893510"/>
    <w:rsid w:val="008941D4"/>
    <w:rsid w:val="008976D1"/>
    <w:rsid w:val="008B3360"/>
    <w:rsid w:val="008B5DAF"/>
    <w:rsid w:val="008D184C"/>
    <w:rsid w:val="008D5934"/>
    <w:rsid w:val="008E5632"/>
    <w:rsid w:val="00913E57"/>
    <w:rsid w:val="0093359F"/>
    <w:rsid w:val="009336E3"/>
    <w:rsid w:val="00937B93"/>
    <w:rsid w:val="0094545C"/>
    <w:rsid w:val="00952D13"/>
    <w:rsid w:val="00956DC5"/>
    <w:rsid w:val="00966FB4"/>
    <w:rsid w:val="00975425"/>
    <w:rsid w:val="00980B4D"/>
    <w:rsid w:val="00991599"/>
    <w:rsid w:val="00992153"/>
    <w:rsid w:val="009B3D64"/>
    <w:rsid w:val="009E5C20"/>
    <w:rsid w:val="00A041F1"/>
    <w:rsid w:val="00A06B7A"/>
    <w:rsid w:val="00A07499"/>
    <w:rsid w:val="00A10536"/>
    <w:rsid w:val="00A30F98"/>
    <w:rsid w:val="00A442FE"/>
    <w:rsid w:val="00A65740"/>
    <w:rsid w:val="00A76534"/>
    <w:rsid w:val="00A7717D"/>
    <w:rsid w:val="00A90E8C"/>
    <w:rsid w:val="00AA1888"/>
    <w:rsid w:val="00AA46AA"/>
    <w:rsid w:val="00AA717B"/>
    <w:rsid w:val="00AB326C"/>
    <w:rsid w:val="00AB49AB"/>
    <w:rsid w:val="00AC0E96"/>
    <w:rsid w:val="00AD40C7"/>
    <w:rsid w:val="00AF5196"/>
    <w:rsid w:val="00B037D6"/>
    <w:rsid w:val="00B15EB2"/>
    <w:rsid w:val="00B227D1"/>
    <w:rsid w:val="00B26597"/>
    <w:rsid w:val="00B3065A"/>
    <w:rsid w:val="00B41D82"/>
    <w:rsid w:val="00B42E5C"/>
    <w:rsid w:val="00B47E13"/>
    <w:rsid w:val="00B60617"/>
    <w:rsid w:val="00B643B6"/>
    <w:rsid w:val="00BB7DF7"/>
    <w:rsid w:val="00BD7B19"/>
    <w:rsid w:val="00BE0776"/>
    <w:rsid w:val="00BE0EEC"/>
    <w:rsid w:val="00BE4867"/>
    <w:rsid w:val="00BF2482"/>
    <w:rsid w:val="00C03129"/>
    <w:rsid w:val="00C061A9"/>
    <w:rsid w:val="00C13207"/>
    <w:rsid w:val="00C13CE1"/>
    <w:rsid w:val="00C167A2"/>
    <w:rsid w:val="00C27A7E"/>
    <w:rsid w:val="00C32CF0"/>
    <w:rsid w:val="00C37177"/>
    <w:rsid w:val="00C37CEF"/>
    <w:rsid w:val="00C8716F"/>
    <w:rsid w:val="00C9177F"/>
    <w:rsid w:val="00C9614A"/>
    <w:rsid w:val="00CA0AE7"/>
    <w:rsid w:val="00CB14DD"/>
    <w:rsid w:val="00CB1675"/>
    <w:rsid w:val="00CC3E7F"/>
    <w:rsid w:val="00CC6FA6"/>
    <w:rsid w:val="00CD4117"/>
    <w:rsid w:val="00CD7806"/>
    <w:rsid w:val="00CE737A"/>
    <w:rsid w:val="00D02E80"/>
    <w:rsid w:val="00D24450"/>
    <w:rsid w:val="00D34666"/>
    <w:rsid w:val="00D36479"/>
    <w:rsid w:val="00D378EB"/>
    <w:rsid w:val="00D443F0"/>
    <w:rsid w:val="00D472D1"/>
    <w:rsid w:val="00D55450"/>
    <w:rsid w:val="00D70649"/>
    <w:rsid w:val="00D752AD"/>
    <w:rsid w:val="00D76432"/>
    <w:rsid w:val="00D7689E"/>
    <w:rsid w:val="00D77DB4"/>
    <w:rsid w:val="00D84E57"/>
    <w:rsid w:val="00D8671B"/>
    <w:rsid w:val="00D86D96"/>
    <w:rsid w:val="00D92E04"/>
    <w:rsid w:val="00DB2185"/>
    <w:rsid w:val="00DB39AE"/>
    <w:rsid w:val="00DB4610"/>
    <w:rsid w:val="00DD000C"/>
    <w:rsid w:val="00DD3F4D"/>
    <w:rsid w:val="00DD7174"/>
    <w:rsid w:val="00E05A00"/>
    <w:rsid w:val="00E05B7C"/>
    <w:rsid w:val="00E1199D"/>
    <w:rsid w:val="00E1512D"/>
    <w:rsid w:val="00E16116"/>
    <w:rsid w:val="00E23F58"/>
    <w:rsid w:val="00E30D63"/>
    <w:rsid w:val="00E4693D"/>
    <w:rsid w:val="00E53D83"/>
    <w:rsid w:val="00E604E2"/>
    <w:rsid w:val="00E62D62"/>
    <w:rsid w:val="00E67CD0"/>
    <w:rsid w:val="00E74DEF"/>
    <w:rsid w:val="00E7674C"/>
    <w:rsid w:val="00E86408"/>
    <w:rsid w:val="00E9580D"/>
    <w:rsid w:val="00E95B84"/>
    <w:rsid w:val="00EB46E4"/>
    <w:rsid w:val="00EC0B2E"/>
    <w:rsid w:val="00EC433F"/>
    <w:rsid w:val="00ED2E6F"/>
    <w:rsid w:val="00ED505C"/>
    <w:rsid w:val="00EE2B34"/>
    <w:rsid w:val="00EE5266"/>
    <w:rsid w:val="00EF0C5A"/>
    <w:rsid w:val="00EF1E22"/>
    <w:rsid w:val="00F0512B"/>
    <w:rsid w:val="00F12542"/>
    <w:rsid w:val="00F32749"/>
    <w:rsid w:val="00F54D22"/>
    <w:rsid w:val="00F63D40"/>
    <w:rsid w:val="00F70957"/>
    <w:rsid w:val="00F81026"/>
    <w:rsid w:val="00F869D0"/>
    <w:rsid w:val="00F91142"/>
    <w:rsid w:val="00FB4CC3"/>
    <w:rsid w:val="00FC13E8"/>
    <w:rsid w:val="00FC5E80"/>
    <w:rsid w:val="00FC64AA"/>
    <w:rsid w:val="00FE0493"/>
    <w:rsid w:val="00FF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47C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uiPriority w:val="34"/>
    <w:qFormat/>
    <w:rsid w:val="00633C2F"/>
    <w:pPr>
      <w:spacing w:after="0" w:line="240" w:lineRule="auto"/>
      <w:ind w:left="720"/>
    </w:pPr>
    <w:rPr>
      <w:rFonts w:ascii="Calibri" w:hAnsi="Calibri" w:cs="Times New Roman"/>
      <w:lang w:val="en-GB"/>
    </w:rPr>
  </w:style>
  <w:style w:type="table" w:styleId="TableGrid">
    <w:name w:val="Table Grid"/>
    <w:basedOn w:val="TableNormal"/>
    <w:uiPriority w:val="59"/>
    <w:rsid w:val="00633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440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40C9"/>
    <w:rPr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5440C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53D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D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D83"/>
    <w:rPr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D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D83"/>
    <w:rPr>
      <w:b/>
      <w:bCs/>
      <w:sz w:val="20"/>
      <w:szCs w:val="20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D83"/>
    <w:rPr>
      <w:rFonts w:ascii="Segoe UI" w:hAnsi="Segoe UI" w:cs="Segoe UI"/>
      <w:sz w:val="18"/>
      <w:szCs w:val="18"/>
      <w:lang w:val="it-IT"/>
    </w:rPr>
  </w:style>
  <w:style w:type="paragraph" w:styleId="Revision">
    <w:name w:val="Revision"/>
    <w:hidden/>
    <w:uiPriority w:val="99"/>
    <w:semiHidden/>
    <w:rsid w:val="00451615"/>
    <w:pPr>
      <w:spacing w:after="0" w:line="240" w:lineRule="auto"/>
    </w:pPr>
    <w:rPr>
      <w:lang w:val="it-IT"/>
    </w:rPr>
  </w:style>
  <w:style w:type="paragraph" w:styleId="Header">
    <w:name w:val="header"/>
    <w:basedOn w:val="Normal"/>
    <w:link w:val="HeaderChar"/>
    <w:uiPriority w:val="99"/>
    <w:unhideWhenUsed/>
    <w:rsid w:val="00EE5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266"/>
    <w:rPr>
      <w:lang w:val="it-IT"/>
    </w:rPr>
  </w:style>
  <w:style w:type="paragraph" w:styleId="Footer">
    <w:name w:val="footer"/>
    <w:basedOn w:val="Normal"/>
    <w:link w:val="FooterChar"/>
    <w:uiPriority w:val="99"/>
    <w:unhideWhenUsed/>
    <w:rsid w:val="00EE5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266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E6DC7-FFA2-4086-89E6-2786D39F2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2017-09-20T11:49:00Z</dcterms:created>
  <dcterms:modified xsi:type="dcterms:W3CDTF">2017-09-20T16:57:00Z</dcterms:modified>
</cp:coreProperties>
</file>